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5AC7" w14:textId="77777777" w:rsidR="00E8144F" w:rsidRDefault="00E8144F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Reinhard Priebe</w:t>
      </w:r>
    </w:p>
    <w:p w14:paraId="2DC18D45" w14:textId="77777777" w:rsidR="00E8144F" w:rsidRDefault="00E8144F">
      <w:pPr>
        <w:rPr>
          <w:rFonts w:ascii="Cambria" w:hAnsi="Cambria"/>
          <w:b/>
          <w:bCs/>
          <w:sz w:val="28"/>
          <w:szCs w:val="28"/>
        </w:rPr>
      </w:pPr>
    </w:p>
    <w:p w14:paraId="2F1054F5" w14:textId="4733B363" w:rsidR="008654A4" w:rsidRDefault="003B7ABD">
      <w:pPr>
        <w:rPr>
          <w:rFonts w:ascii="Cambria" w:hAnsi="Cambria"/>
          <w:b/>
          <w:bCs/>
          <w:sz w:val="28"/>
          <w:szCs w:val="28"/>
        </w:rPr>
      </w:pPr>
      <w:r w:rsidRPr="003B7ABD">
        <w:rPr>
          <w:rFonts w:ascii="Cambria" w:hAnsi="Cambria"/>
          <w:b/>
          <w:bCs/>
          <w:sz w:val="28"/>
          <w:szCs w:val="28"/>
        </w:rPr>
        <w:t xml:space="preserve">Aktuelles </w:t>
      </w:r>
      <w:r>
        <w:rPr>
          <w:rFonts w:ascii="Cambria" w:hAnsi="Cambria"/>
          <w:b/>
          <w:bCs/>
          <w:sz w:val="28"/>
          <w:szCs w:val="28"/>
        </w:rPr>
        <w:t xml:space="preserve">aus Brüssel </w:t>
      </w:r>
      <w:r w:rsidR="00E541E0">
        <w:rPr>
          <w:rFonts w:ascii="Cambria" w:hAnsi="Cambria"/>
          <w:b/>
          <w:bCs/>
          <w:sz w:val="28"/>
          <w:szCs w:val="28"/>
        </w:rPr>
        <w:t xml:space="preserve">- </w:t>
      </w:r>
      <w:r w:rsidR="00850777">
        <w:rPr>
          <w:rFonts w:ascii="Cambria" w:hAnsi="Cambria"/>
          <w:b/>
          <w:bCs/>
          <w:sz w:val="28"/>
          <w:szCs w:val="28"/>
        </w:rPr>
        <w:t>10</w:t>
      </w:r>
      <w:r>
        <w:rPr>
          <w:rFonts w:ascii="Cambria" w:hAnsi="Cambria"/>
          <w:b/>
          <w:bCs/>
          <w:sz w:val="28"/>
          <w:szCs w:val="28"/>
        </w:rPr>
        <w:t>.</w:t>
      </w:r>
      <w:r w:rsidR="00B5298E">
        <w:rPr>
          <w:rFonts w:ascii="Cambria" w:hAnsi="Cambria"/>
          <w:b/>
          <w:bCs/>
          <w:sz w:val="28"/>
          <w:szCs w:val="28"/>
        </w:rPr>
        <w:t>8</w:t>
      </w:r>
      <w:r>
        <w:rPr>
          <w:rFonts w:ascii="Cambria" w:hAnsi="Cambria"/>
          <w:b/>
          <w:bCs/>
          <w:sz w:val="28"/>
          <w:szCs w:val="28"/>
        </w:rPr>
        <w:t>.2021</w:t>
      </w:r>
    </w:p>
    <w:p w14:paraId="506713F8" w14:textId="1D75F8F2" w:rsidR="00A9793A" w:rsidRDefault="00A9793A">
      <w:pPr>
        <w:rPr>
          <w:rFonts w:ascii="Cambria" w:hAnsi="Cambria"/>
          <w:b/>
          <w:bCs/>
          <w:sz w:val="28"/>
          <w:szCs w:val="28"/>
        </w:rPr>
      </w:pPr>
    </w:p>
    <w:p w14:paraId="44AA9BCD" w14:textId="77777777" w:rsidR="00C56D64" w:rsidRDefault="00C56D64" w:rsidP="00A9793A">
      <w:pPr>
        <w:jc w:val="both"/>
        <w:rPr>
          <w:rFonts w:ascii="Cambria" w:hAnsi="Cambria"/>
        </w:rPr>
      </w:pPr>
    </w:p>
    <w:p w14:paraId="51DC2C50" w14:textId="7FE3458E" w:rsidR="00A9793A" w:rsidRPr="00A9793A" w:rsidRDefault="00A9793A" w:rsidP="00A9793A">
      <w:pPr>
        <w:jc w:val="both"/>
        <w:rPr>
          <w:rFonts w:ascii="Cambria" w:hAnsi="Cambria"/>
        </w:rPr>
      </w:pPr>
      <w:r>
        <w:rPr>
          <w:rFonts w:ascii="Cambria" w:hAnsi="Cambria"/>
        </w:rPr>
        <w:t>August ist in Brüssel traditionell der Ferienmonat, in dem die EU-Aktivitäten auf ein Minimum zurückgefahren sind. Aus den dieser Ruhepause vorangegangenen hektischen Wochen g</w:t>
      </w:r>
      <w:r w:rsidR="00C56D64">
        <w:rPr>
          <w:rFonts w:ascii="Cambria" w:hAnsi="Cambria"/>
        </w:rPr>
        <w:t>äbe</w:t>
      </w:r>
      <w:r>
        <w:rPr>
          <w:rFonts w:ascii="Cambria" w:hAnsi="Cambria"/>
        </w:rPr>
        <w:t xml:space="preserve"> es Einiges zu berichten. </w:t>
      </w:r>
      <w:r w:rsidR="00C56D64">
        <w:rPr>
          <w:rFonts w:ascii="Cambria" w:hAnsi="Cambria"/>
        </w:rPr>
        <w:t>Hier nur eine kleine Auswahl:</w:t>
      </w:r>
    </w:p>
    <w:p w14:paraId="66CEC8F4" w14:textId="26001601" w:rsidR="003B7ABD" w:rsidRDefault="003B7ABD">
      <w:pPr>
        <w:rPr>
          <w:rFonts w:ascii="Cambria" w:hAnsi="Cambria"/>
          <w:b/>
          <w:bCs/>
          <w:sz w:val="28"/>
          <w:szCs w:val="28"/>
        </w:rPr>
      </w:pPr>
    </w:p>
    <w:p w14:paraId="6E07DE76" w14:textId="0F8AA9F5" w:rsidR="007618F8" w:rsidRPr="007618F8" w:rsidRDefault="007618F8" w:rsidP="007618F8">
      <w:pPr>
        <w:pStyle w:val="Default"/>
        <w:numPr>
          <w:ilvl w:val="0"/>
          <w:numId w:val="2"/>
        </w:numPr>
      </w:pPr>
      <w:r>
        <w:rPr>
          <w:rFonts w:ascii="Cambria" w:hAnsi="Cambria"/>
          <w:b/>
          <w:bCs/>
        </w:rPr>
        <w:t>„Europäischer Grüner Deal“ – der große Wurf zur Klimapolitik?</w:t>
      </w:r>
    </w:p>
    <w:p w14:paraId="55A6E6C8" w14:textId="77777777" w:rsidR="007618F8" w:rsidRDefault="007618F8" w:rsidP="007618F8">
      <w:pPr>
        <w:pStyle w:val="Default"/>
      </w:pPr>
    </w:p>
    <w:p w14:paraId="282BCE62" w14:textId="0FA6D895" w:rsidR="005970FA" w:rsidRDefault="000C2263" w:rsidP="00964CE2">
      <w:pPr>
        <w:pStyle w:val="Default"/>
        <w:jc w:val="both"/>
        <w:rPr>
          <w:sz w:val="20"/>
          <w:szCs w:val="20"/>
        </w:rPr>
      </w:pPr>
      <w:r>
        <w:rPr>
          <w:rFonts w:ascii="Cambria" w:hAnsi="Cambria"/>
        </w:rPr>
        <w:t xml:space="preserve">Der „Europäische Grüne Deal“ ist erklärtermaßen die erste Priorität der von der Leyen-Kommission. </w:t>
      </w:r>
      <w:r w:rsidRPr="00964CE2">
        <w:rPr>
          <w:rFonts w:ascii="Cambria" w:hAnsi="Cambria"/>
        </w:rPr>
        <w:t>In einer Mitteilung vom 14.7.2021 „‘</w:t>
      </w:r>
      <w:r w:rsidR="007618F8" w:rsidRPr="00964CE2">
        <w:rPr>
          <w:rFonts w:ascii="Cambria" w:hAnsi="Cambria"/>
        </w:rPr>
        <w:t>Fit für 55</w:t>
      </w:r>
      <w:r w:rsidRPr="00964CE2">
        <w:rPr>
          <w:rFonts w:ascii="Cambria" w:hAnsi="Cambria"/>
        </w:rPr>
        <w:t>‘</w:t>
      </w:r>
      <w:r w:rsidR="007618F8" w:rsidRPr="00964CE2">
        <w:rPr>
          <w:rFonts w:ascii="Cambria" w:hAnsi="Cambria"/>
        </w:rPr>
        <w:t>: auf dem Weg zur Klimaneutralität – Umsetzung des EU</w:t>
      </w:r>
      <w:r w:rsidR="007618F8" w:rsidRPr="00964CE2">
        <w:rPr>
          <w:rFonts w:ascii="Cambria" w:hAnsi="Cambria"/>
        </w:rPr>
        <w:noBreakHyphen/>
        <w:t xml:space="preserve"> Klimaziels für 2030</w:t>
      </w:r>
      <w:r w:rsidRPr="00964CE2">
        <w:rPr>
          <w:rFonts w:ascii="Cambria" w:hAnsi="Cambria"/>
        </w:rPr>
        <w:t xml:space="preserve">“ </w:t>
      </w:r>
      <w:r w:rsidR="00964CE2" w:rsidRPr="00964CE2">
        <w:rPr>
          <w:rFonts w:ascii="Cambria" w:hAnsi="Cambria"/>
        </w:rPr>
        <w:t>fasst</w:t>
      </w:r>
      <w:r w:rsidRPr="00964CE2">
        <w:rPr>
          <w:rFonts w:ascii="Cambria" w:hAnsi="Cambria"/>
        </w:rPr>
        <w:t xml:space="preserve"> </w:t>
      </w:r>
      <w:r w:rsidR="0098420F">
        <w:rPr>
          <w:rFonts w:ascii="Cambria" w:hAnsi="Cambria"/>
        </w:rPr>
        <w:t>sie</w:t>
      </w:r>
      <w:r w:rsidR="00964CE2">
        <w:rPr>
          <w:rFonts w:ascii="Cambria" w:hAnsi="Cambria"/>
        </w:rPr>
        <w:t xml:space="preserve"> die vielfältigen Maßnahmen zusammen, mit denen </w:t>
      </w:r>
      <w:r w:rsidR="00414D98">
        <w:rPr>
          <w:rFonts w:ascii="Cambria" w:hAnsi="Cambria"/>
        </w:rPr>
        <w:t xml:space="preserve">die EU </w:t>
      </w:r>
      <w:r w:rsidR="00964CE2">
        <w:rPr>
          <w:rFonts w:ascii="Cambria" w:hAnsi="Cambria"/>
        </w:rPr>
        <w:t xml:space="preserve">das Ziel erreichen </w:t>
      </w:r>
      <w:r w:rsidR="0047118A">
        <w:rPr>
          <w:rFonts w:ascii="Cambria" w:hAnsi="Cambria"/>
        </w:rPr>
        <w:t>wi</w:t>
      </w:r>
      <w:r w:rsidR="00964CE2">
        <w:rPr>
          <w:rFonts w:ascii="Cambria" w:hAnsi="Cambria"/>
        </w:rPr>
        <w:t xml:space="preserve">ll, „die Nettoemissionen bis </w:t>
      </w:r>
      <w:proofErr w:type="gramStart"/>
      <w:r w:rsidR="00964CE2">
        <w:rPr>
          <w:rFonts w:ascii="Cambria" w:hAnsi="Cambria"/>
        </w:rPr>
        <w:t>2030</w:t>
      </w:r>
      <w:proofErr w:type="gramEnd"/>
      <w:r w:rsidR="00964CE2">
        <w:rPr>
          <w:rFonts w:ascii="Cambria" w:hAnsi="Cambria"/>
        </w:rPr>
        <w:t xml:space="preserve"> um mindestens 55% gegenüber 1990 zu verringern und bis 2050 zum ersten klimaneutralen Kontinent zu werden.“</w:t>
      </w:r>
      <w:r w:rsidR="00964CE2" w:rsidRPr="00964CE2">
        <w:rPr>
          <w:sz w:val="20"/>
          <w:szCs w:val="20"/>
        </w:rPr>
        <w:t xml:space="preserve"> </w:t>
      </w:r>
    </w:p>
    <w:p w14:paraId="1C14F910" w14:textId="77777777" w:rsidR="005970FA" w:rsidRDefault="005970FA" w:rsidP="00964CE2">
      <w:pPr>
        <w:pStyle w:val="Default"/>
        <w:jc w:val="both"/>
        <w:rPr>
          <w:sz w:val="20"/>
          <w:szCs w:val="20"/>
        </w:rPr>
      </w:pPr>
    </w:p>
    <w:p w14:paraId="2BF53E44" w14:textId="503BDAB2" w:rsidR="00964CE2" w:rsidRDefault="00964CE2" w:rsidP="00964CE2">
      <w:pPr>
        <w:pStyle w:val="Default"/>
        <w:jc w:val="both"/>
        <w:rPr>
          <w:rFonts w:ascii="Cambria" w:hAnsi="Cambria"/>
        </w:rPr>
      </w:pPr>
      <w:r w:rsidRPr="00964CE2">
        <w:rPr>
          <w:rFonts w:ascii="Cambria" w:hAnsi="Cambria"/>
        </w:rPr>
        <w:t>Das „</w:t>
      </w:r>
      <w:r>
        <w:rPr>
          <w:rFonts w:ascii="Cambria" w:hAnsi="Cambria"/>
        </w:rPr>
        <w:t>Fi</w:t>
      </w:r>
      <w:r w:rsidR="005970FA">
        <w:rPr>
          <w:rFonts w:ascii="Cambria" w:hAnsi="Cambria"/>
        </w:rPr>
        <w:t>t</w:t>
      </w:r>
      <w:r w:rsidRPr="00964CE2">
        <w:rPr>
          <w:rFonts w:ascii="Cambria" w:hAnsi="Cambria"/>
        </w:rPr>
        <w:t xml:space="preserve"> für 55“ </w:t>
      </w:r>
      <w:r>
        <w:rPr>
          <w:rFonts w:ascii="Cambria" w:hAnsi="Cambria"/>
        </w:rPr>
        <w:t>Paket besteht aus einer Reihe miteinander verbundener Vorschläge.</w:t>
      </w:r>
      <w:r w:rsidRPr="00964CE2">
        <w:rPr>
          <w:rFonts w:ascii="Cambria" w:hAnsi="Cambria"/>
        </w:rPr>
        <w:t xml:space="preserve"> </w:t>
      </w:r>
      <w:r>
        <w:rPr>
          <w:rFonts w:ascii="Cambria" w:hAnsi="Cambria"/>
        </w:rPr>
        <w:t>Es beruht auf einem „gesamtwirtschaftlichen Ansatz“</w:t>
      </w:r>
      <w:r w:rsidR="005970FA">
        <w:rPr>
          <w:rFonts w:ascii="Cambria" w:hAnsi="Cambria"/>
        </w:rPr>
        <w:t>: (1)</w:t>
      </w:r>
      <w:r>
        <w:rPr>
          <w:rFonts w:ascii="Cambria" w:hAnsi="Cambria"/>
        </w:rPr>
        <w:t xml:space="preserve"> Der Übergang müsse sozial gerecht sein. Durch klimapolitische Maßnahmen müssten Ungleichheit und Energiearmut bekämpft werden.  </w:t>
      </w:r>
      <w:r w:rsidR="005970FA">
        <w:rPr>
          <w:rFonts w:ascii="Cambria" w:hAnsi="Cambria"/>
        </w:rPr>
        <w:t>(2) Der Übergang müsse wettbewerbsorientiert sein. Durch industriellen und sektoralen Wandel seien neue Chancen zu schaffen. (3) Ein ökologischer Wandel sei durch Naturschutz und Erweiterung der natürlichen Kohlenstoffs</w:t>
      </w:r>
      <w:r w:rsidR="00C34801">
        <w:rPr>
          <w:rFonts w:ascii="Cambria" w:hAnsi="Cambria"/>
        </w:rPr>
        <w:t>peicher (wie Wälder und Moore)</w:t>
      </w:r>
      <w:r w:rsidR="005970FA">
        <w:rPr>
          <w:rFonts w:ascii="Cambria" w:hAnsi="Cambria"/>
        </w:rPr>
        <w:t xml:space="preserve"> herbeizuführen.</w:t>
      </w:r>
    </w:p>
    <w:p w14:paraId="00AFAF5B" w14:textId="6EE6E124" w:rsidR="005970FA" w:rsidRDefault="005970FA" w:rsidP="00964CE2">
      <w:pPr>
        <w:pStyle w:val="Default"/>
        <w:jc w:val="both"/>
        <w:rPr>
          <w:rFonts w:ascii="Cambria" w:hAnsi="Cambria"/>
        </w:rPr>
      </w:pPr>
    </w:p>
    <w:p w14:paraId="755DE903" w14:textId="2E5302AE" w:rsidR="008C7C21" w:rsidRDefault="005970FA" w:rsidP="008C7C21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</w:rPr>
        <w:t xml:space="preserve">Möglichkeiten und Anreize </w:t>
      </w:r>
      <w:r w:rsidR="00C34801">
        <w:rPr>
          <w:rFonts w:ascii="Cambria" w:hAnsi="Cambria"/>
        </w:rPr>
        <w:t xml:space="preserve">für einen wettbewerbsfähigen Übergang </w:t>
      </w:r>
      <w:r>
        <w:rPr>
          <w:rFonts w:ascii="Cambria" w:hAnsi="Cambria"/>
        </w:rPr>
        <w:t xml:space="preserve">seien anzubieten. </w:t>
      </w:r>
      <w:r w:rsidR="0047118A">
        <w:rPr>
          <w:rFonts w:ascii="Cambria" w:hAnsi="Cambria"/>
        </w:rPr>
        <w:t>D</w:t>
      </w:r>
      <w:r w:rsidRPr="008C7C21">
        <w:rPr>
          <w:rFonts w:ascii="Cambria" w:hAnsi="Cambria"/>
        </w:rPr>
        <w:t>er langfristige EU-Haush</w:t>
      </w:r>
      <w:r w:rsidR="00C34801" w:rsidRPr="008C7C21">
        <w:rPr>
          <w:rFonts w:ascii="Cambria" w:hAnsi="Cambria"/>
        </w:rPr>
        <w:t>alt</w:t>
      </w:r>
      <w:r w:rsidR="00C34801">
        <w:rPr>
          <w:rFonts w:ascii="Cambria" w:hAnsi="Cambria"/>
        </w:rPr>
        <w:t xml:space="preserve"> </w:t>
      </w:r>
      <w:r w:rsidR="00C34801" w:rsidRPr="008C7C21">
        <w:rPr>
          <w:rFonts w:ascii="Cambria" w:hAnsi="Cambria"/>
        </w:rPr>
        <w:t xml:space="preserve">und das </w:t>
      </w:r>
      <w:r w:rsidR="0098420F">
        <w:rPr>
          <w:rFonts w:ascii="Cambria" w:hAnsi="Cambria"/>
        </w:rPr>
        <w:t>2020</w:t>
      </w:r>
      <w:r w:rsidR="00C34801">
        <w:rPr>
          <w:rFonts w:ascii="Cambria" w:hAnsi="Cambria"/>
        </w:rPr>
        <w:t xml:space="preserve"> zur Abfederung der </w:t>
      </w:r>
      <w:proofErr w:type="spellStart"/>
      <w:r w:rsidR="00C34801">
        <w:rPr>
          <w:rFonts w:ascii="Cambria" w:hAnsi="Cambria"/>
        </w:rPr>
        <w:t>coronabedingten</w:t>
      </w:r>
      <w:proofErr w:type="spellEnd"/>
      <w:r w:rsidR="00C34801">
        <w:rPr>
          <w:rFonts w:ascii="Cambria" w:hAnsi="Cambria"/>
        </w:rPr>
        <w:t xml:space="preserve"> Schäden für Wirtschaft und Gesellschaft</w:t>
      </w:r>
      <w:r w:rsidRPr="008C7C21">
        <w:rPr>
          <w:rFonts w:ascii="Cambria" w:hAnsi="Cambria"/>
        </w:rPr>
        <w:t xml:space="preserve"> </w:t>
      </w:r>
      <w:r w:rsidR="006A16E5">
        <w:rPr>
          <w:rFonts w:ascii="Cambria" w:hAnsi="Cambria"/>
        </w:rPr>
        <w:t xml:space="preserve">beschlossene </w:t>
      </w:r>
      <w:r w:rsidR="00C34801">
        <w:rPr>
          <w:rFonts w:ascii="Cambria" w:hAnsi="Cambria"/>
        </w:rPr>
        <w:t>750</w:t>
      </w:r>
      <w:r w:rsidR="0047118A">
        <w:rPr>
          <w:rFonts w:ascii="Cambria" w:hAnsi="Cambria"/>
        </w:rPr>
        <w:t xml:space="preserve"> </w:t>
      </w:r>
      <w:r w:rsidR="00C34801">
        <w:rPr>
          <w:rFonts w:ascii="Cambria" w:hAnsi="Cambria"/>
        </w:rPr>
        <w:t>Mrd</w:t>
      </w:r>
      <w:r w:rsidR="0047118A">
        <w:rPr>
          <w:rFonts w:ascii="Cambria" w:hAnsi="Cambria"/>
        </w:rPr>
        <w:t>.-</w:t>
      </w:r>
      <w:r w:rsidR="008C7C21" w:rsidRPr="008C7C21">
        <w:rPr>
          <w:rFonts w:ascii="Cambria" w:hAnsi="Cambria"/>
        </w:rPr>
        <w:t xml:space="preserve">Aufbaupaket </w:t>
      </w:r>
      <w:r w:rsidR="006A16E5">
        <w:rPr>
          <w:rFonts w:ascii="Cambria" w:hAnsi="Cambria"/>
        </w:rPr>
        <w:t>„</w:t>
      </w:r>
      <w:proofErr w:type="spellStart"/>
      <w:r w:rsidR="008C7C21" w:rsidRPr="008C7C21">
        <w:rPr>
          <w:rFonts w:ascii="Cambria" w:hAnsi="Cambria"/>
        </w:rPr>
        <w:t>NextGenerationEU</w:t>
      </w:r>
      <w:proofErr w:type="spellEnd"/>
      <w:r w:rsidR="006A16E5">
        <w:rPr>
          <w:rFonts w:ascii="Cambria" w:hAnsi="Cambria"/>
        </w:rPr>
        <w:t>“</w:t>
      </w:r>
      <w:r w:rsidR="008C7C21" w:rsidRPr="008C7C21">
        <w:rPr>
          <w:rFonts w:ascii="Cambria" w:hAnsi="Cambria"/>
        </w:rPr>
        <w:t xml:space="preserve"> </w:t>
      </w:r>
      <w:r w:rsidR="0047118A">
        <w:rPr>
          <w:rFonts w:ascii="Cambria" w:hAnsi="Cambria"/>
        </w:rPr>
        <w:t xml:space="preserve">seien </w:t>
      </w:r>
      <w:r w:rsidR="008C7C21" w:rsidRPr="008C7C21">
        <w:rPr>
          <w:rFonts w:ascii="Cambria" w:hAnsi="Cambria"/>
        </w:rPr>
        <w:t>speziell auf die Unterstützung des ökologis</w:t>
      </w:r>
      <w:r w:rsidR="006E0B0D">
        <w:rPr>
          <w:rFonts w:ascii="Cambria" w:hAnsi="Cambria"/>
        </w:rPr>
        <w:t>c</w:t>
      </w:r>
      <w:r w:rsidR="008C7C21" w:rsidRPr="008C7C21">
        <w:rPr>
          <w:rFonts w:ascii="Cambria" w:hAnsi="Cambria"/>
        </w:rPr>
        <w:t>hen Wandels zugeschnitten</w:t>
      </w:r>
      <w:r w:rsidR="008C7C21">
        <w:rPr>
          <w:rFonts w:ascii="Cambria" w:hAnsi="Cambria"/>
        </w:rPr>
        <w:t xml:space="preserve">. </w:t>
      </w:r>
      <w:r w:rsidR="0047118A">
        <w:rPr>
          <w:rFonts w:ascii="Cambria" w:hAnsi="Cambria"/>
        </w:rPr>
        <w:t>S</w:t>
      </w:r>
      <w:r w:rsidR="006E0B0D">
        <w:rPr>
          <w:rFonts w:ascii="Cambria" w:hAnsi="Cambria"/>
        </w:rPr>
        <w:t>o seien e</w:t>
      </w:r>
      <w:r w:rsidR="008C7C21" w:rsidRPr="008C7C21">
        <w:rPr>
          <w:rFonts w:ascii="Cambria" w:hAnsi="Cambria"/>
        </w:rPr>
        <w:t>twa 30% der Programme des Mehrjährigen Fina</w:t>
      </w:r>
      <w:r w:rsidR="008C7C21">
        <w:rPr>
          <w:rFonts w:ascii="Cambria" w:hAnsi="Cambria"/>
        </w:rPr>
        <w:t>n</w:t>
      </w:r>
      <w:r w:rsidR="008C7C21" w:rsidRPr="008C7C21">
        <w:rPr>
          <w:rFonts w:ascii="Cambria" w:hAnsi="Cambria"/>
        </w:rPr>
        <w:t xml:space="preserve">zrahmens 2021-2027 für die Unterstützung von Klimamaßnahmen bestimmt. </w:t>
      </w:r>
    </w:p>
    <w:p w14:paraId="3F71F6B7" w14:textId="77777777" w:rsidR="008C7C21" w:rsidRDefault="008C7C21" w:rsidP="008C7C21">
      <w:pPr>
        <w:pStyle w:val="Default"/>
        <w:jc w:val="both"/>
        <w:rPr>
          <w:rFonts w:ascii="Cambria" w:hAnsi="Cambria"/>
        </w:rPr>
      </w:pPr>
    </w:p>
    <w:p w14:paraId="08C2BF5D" w14:textId="31C4C04B" w:rsidR="008C7C21" w:rsidRDefault="008C7C21" w:rsidP="008C7C21">
      <w:pPr>
        <w:pStyle w:val="Default"/>
        <w:jc w:val="both"/>
        <w:rPr>
          <w:rFonts w:ascii="Cambria" w:hAnsi="Cambria"/>
        </w:rPr>
      </w:pPr>
      <w:r w:rsidRPr="008C7C21">
        <w:rPr>
          <w:rFonts w:ascii="Cambria" w:hAnsi="Cambria"/>
        </w:rPr>
        <w:t>Eine nachhaltige EU müsse in einer nachhaltigen Welt</w:t>
      </w:r>
      <w:r w:rsidR="006E0B0D">
        <w:rPr>
          <w:rFonts w:ascii="Cambria" w:hAnsi="Cambria"/>
        </w:rPr>
        <w:t xml:space="preserve"> agieren</w:t>
      </w:r>
      <w:r w:rsidR="006233F1">
        <w:rPr>
          <w:rFonts w:ascii="Cambria" w:hAnsi="Cambria"/>
        </w:rPr>
        <w:t>.</w:t>
      </w:r>
      <w:r w:rsidRPr="008C7C21">
        <w:rPr>
          <w:rFonts w:ascii="Cambria" w:hAnsi="Cambria"/>
        </w:rPr>
        <w:t xml:space="preserve"> </w:t>
      </w:r>
      <w:r w:rsidR="00C34801">
        <w:rPr>
          <w:rFonts w:ascii="Cambria" w:hAnsi="Cambria"/>
        </w:rPr>
        <w:t>Sie verfüge m</w:t>
      </w:r>
      <w:r w:rsidRPr="008C7C21">
        <w:rPr>
          <w:rFonts w:ascii="Cambria" w:hAnsi="Cambria"/>
        </w:rPr>
        <w:t xml:space="preserve">it dem europäischen Grünen Deal über eine </w:t>
      </w:r>
      <w:r w:rsidR="0047118A">
        <w:rPr>
          <w:rFonts w:ascii="Cambria" w:hAnsi="Cambria"/>
        </w:rPr>
        <w:t>S</w:t>
      </w:r>
      <w:r w:rsidRPr="008C7C21">
        <w:rPr>
          <w:rFonts w:ascii="Cambria" w:hAnsi="Cambria"/>
        </w:rPr>
        <w:t xml:space="preserve">trategie, </w:t>
      </w:r>
      <w:r w:rsidR="00792007">
        <w:rPr>
          <w:rFonts w:ascii="Cambria" w:hAnsi="Cambria"/>
        </w:rPr>
        <w:t xml:space="preserve">die </w:t>
      </w:r>
      <w:r w:rsidRPr="008C7C21">
        <w:rPr>
          <w:rFonts w:ascii="Cambria" w:hAnsi="Cambria"/>
        </w:rPr>
        <w:t xml:space="preserve">eine Vorbildfunktion </w:t>
      </w:r>
      <w:r w:rsidR="0047118A">
        <w:rPr>
          <w:rFonts w:ascii="Cambria" w:hAnsi="Cambria"/>
        </w:rPr>
        <w:t xml:space="preserve">weltweit entfalten </w:t>
      </w:r>
      <w:r w:rsidR="006A16E5">
        <w:rPr>
          <w:rFonts w:ascii="Cambria" w:hAnsi="Cambria"/>
        </w:rPr>
        <w:t>sollte</w:t>
      </w:r>
      <w:r w:rsidRPr="008C7C21">
        <w:rPr>
          <w:rFonts w:ascii="Cambria" w:hAnsi="Cambria"/>
        </w:rPr>
        <w:t xml:space="preserve">. </w:t>
      </w:r>
    </w:p>
    <w:p w14:paraId="27869703" w14:textId="715C17F7" w:rsidR="006233F1" w:rsidRDefault="006233F1" w:rsidP="008C7C21">
      <w:pPr>
        <w:pStyle w:val="Default"/>
        <w:jc w:val="both"/>
        <w:rPr>
          <w:rFonts w:ascii="Cambria" w:hAnsi="Cambria"/>
        </w:rPr>
      </w:pPr>
    </w:p>
    <w:p w14:paraId="25E6C924" w14:textId="3FB8C1B2" w:rsidR="00E8144F" w:rsidRDefault="006233F1" w:rsidP="009812E8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</w:rPr>
        <w:t xml:space="preserve">Die Mitteilung der Kommission vom 14.7.2021 </w:t>
      </w:r>
      <w:r w:rsidR="0047118A">
        <w:rPr>
          <w:rFonts w:ascii="Cambria" w:hAnsi="Cambria"/>
        </w:rPr>
        <w:t xml:space="preserve">gibt einen lesenswerten </w:t>
      </w:r>
      <w:r>
        <w:rPr>
          <w:rFonts w:ascii="Cambria" w:hAnsi="Cambria"/>
        </w:rPr>
        <w:t xml:space="preserve">Überblick über die Ausrichtung der verschiedenen EU-Politiken </w:t>
      </w:r>
      <w:r w:rsidR="006E0B0D">
        <w:rPr>
          <w:rFonts w:ascii="Cambria" w:hAnsi="Cambria"/>
        </w:rPr>
        <w:t xml:space="preserve">(z.B. Energie, Verkehr, Landwirtschaft) </w:t>
      </w:r>
      <w:r>
        <w:rPr>
          <w:rFonts w:ascii="Cambria" w:hAnsi="Cambria"/>
        </w:rPr>
        <w:t xml:space="preserve">mit Blick auf die Bekämpfung des Klimawandels. </w:t>
      </w:r>
      <w:r w:rsidR="00792007">
        <w:rPr>
          <w:rFonts w:ascii="Cambria" w:hAnsi="Cambria"/>
        </w:rPr>
        <w:t>Ob und inwieweit die zur Umsetzung der Mitteilung</w:t>
      </w:r>
      <w:r>
        <w:rPr>
          <w:rFonts w:ascii="Cambria" w:hAnsi="Cambria"/>
        </w:rPr>
        <w:t xml:space="preserve"> </w:t>
      </w:r>
      <w:r w:rsidR="00792007">
        <w:rPr>
          <w:rFonts w:ascii="Cambria" w:hAnsi="Cambria"/>
        </w:rPr>
        <w:t>bereits vorgelegten oder angekündigten konkreten Vorschläge der Kommission (z.B. die Vorschläge zu einem europäischen Klimagesetz oder zu Klima-Schutzzöllen für Importe aus „Klimasünderländern“)</w:t>
      </w:r>
      <w:r w:rsidR="00792007" w:rsidRPr="00792007">
        <w:rPr>
          <w:rFonts w:ascii="Cambria" w:hAnsi="Cambria"/>
        </w:rPr>
        <w:t xml:space="preserve"> </w:t>
      </w:r>
      <w:r w:rsidR="00792007">
        <w:rPr>
          <w:rFonts w:ascii="Cambria" w:hAnsi="Cambria"/>
        </w:rPr>
        <w:t xml:space="preserve">die Unterstützung der Mitgliedsstaaten finden werden, bleibt abzuwarten. </w:t>
      </w:r>
      <w:r>
        <w:rPr>
          <w:rFonts w:ascii="Cambria" w:hAnsi="Cambria"/>
        </w:rPr>
        <w:t xml:space="preserve">Dem Vernehmen nach war es schon </w:t>
      </w:r>
      <w:r w:rsidR="0098420F">
        <w:rPr>
          <w:rFonts w:ascii="Cambria" w:hAnsi="Cambria"/>
        </w:rPr>
        <w:t xml:space="preserve">innerhalb der Kommission </w:t>
      </w:r>
      <w:r>
        <w:rPr>
          <w:rFonts w:ascii="Cambria" w:hAnsi="Cambria"/>
        </w:rPr>
        <w:t xml:space="preserve">schwierig, </w:t>
      </w:r>
      <w:r w:rsidR="006E0B0D">
        <w:rPr>
          <w:rFonts w:ascii="Cambria" w:hAnsi="Cambria"/>
        </w:rPr>
        <w:t>eine Einigung</w:t>
      </w:r>
      <w:r>
        <w:rPr>
          <w:rFonts w:ascii="Cambria" w:hAnsi="Cambria"/>
        </w:rPr>
        <w:t xml:space="preserve"> über die Mitteilung </w:t>
      </w:r>
      <w:r w:rsidR="00C41C9F">
        <w:rPr>
          <w:rFonts w:ascii="Cambria" w:hAnsi="Cambria"/>
        </w:rPr>
        <w:t>herbeizuführen</w:t>
      </w:r>
      <w:r>
        <w:rPr>
          <w:rFonts w:ascii="Cambria" w:hAnsi="Cambria"/>
        </w:rPr>
        <w:t>.</w:t>
      </w:r>
      <w:r w:rsidR="006E0B0D">
        <w:rPr>
          <w:rFonts w:ascii="Cambria" w:hAnsi="Cambria"/>
        </w:rPr>
        <w:t xml:space="preserve"> </w:t>
      </w:r>
    </w:p>
    <w:p w14:paraId="06A89192" w14:textId="0A3764DA" w:rsidR="009E3B5D" w:rsidRDefault="009E3B5D" w:rsidP="009E3B5D">
      <w:pPr>
        <w:pStyle w:val="Default"/>
        <w:jc w:val="both"/>
        <w:rPr>
          <w:rFonts w:ascii="Cambria" w:hAnsi="Cambria"/>
        </w:rPr>
      </w:pPr>
    </w:p>
    <w:p w14:paraId="20054A7E" w14:textId="06078244" w:rsidR="009812E8" w:rsidRDefault="009812E8" w:rsidP="009E3B5D">
      <w:pPr>
        <w:pStyle w:val="Default"/>
        <w:jc w:val="both"/>
        <w:rPr>
          <w:rFonts w:ascii="Cambria" w:hAnsi="Cambria"/>
        </w:rPr>
      </w:pPr>
    </w:p>
    <w:p w14:paraId="691D30E9" w14:textId="1FEA3C0E" w:rsidR="009812E8" w:rsidRDefault="009812E8" w:rsidP="009E3B5D">
      <w:pPr>
        <w:pStyle w:val="Default"/>
        <w:jc w:val="both"/>
        <w:rPr>
          <w:rFonts w:ascii="Cambria" w:hAnsi="Cambria"/>
        </w:rPr>
      </w:pPr>
    </w:p>
    <w:p w14:paraId="780E9DA7" w14:textId="63C31530" w:rsidR="009812E8" w:rsidRDefault="009812E8" w:rsidP="009E3B5D">
      <w:pPr>
        <w:pStyle w:val="Default"/>
        <w:jc w:val="both"/>
        <w:rPr>
          <w:rFonts w:ascii="Cambria" w:hAnsi="Cambria"/>
        </w:rPr>
      </w:pPr>
    </w:p>
    <w:p w14:paraId="4E10C6A7" w14:textId="77777777" w:rsidR="009812E8" w:rsidRPr="009E3B5D" w:rsidRDefault="009812E8" w:rsidP="009E3B5D">
      <w:pPr>
        <w:pStyle w:val="Default"/>
        <w:jc w:val="both"/>
        <w:rPr>
          <w:rFonts w:ascii="Cambria" w:hAnsi="Cambria"/>
        </w:rPr>
      </w:pPr>
    </w:p>
    <w:p w14:paraId="26A45859" w14:textId="446F0926" w:rsidR="00E8144F" w:rsidRDefault="00E8144F" w:rsidP="007618F8">
      <w:pPr>
        <w:pStyle w:val="Listenabsatz"/>
        <w:numPr>
          <w:ilvl w:val="0"/>
          <w:numId w:val="2"/>
        </w:numPr>
        <w:rPr>
          <w:rFonts w:ascii="Cambria" w:hAnsi="Cambria"/>
          <w:b/>
          <w:bCs/>
        </w:rPr>
      </w:pPr>
      <w:r w:rsidRPr="007618F8">
        <w:rPr>
          <w:rFonts w:ascii="Cambria" w:hAnsi="Cambria"/>
          <w:b/>
          <w:bCs/>
        </w:rPr>
        <w:lastRenderedPageBreak/>
        <w:t>Gemeinsame Agrarpolitik – Reform oder „</w:t>
      </w:r>
      <w:proofErr w:type="spellStart"/>
      <w:r w:rsidRPr="007618F8">
        <w:rPr>
          <w:rFonts w:ascii="Cambria" w:hAnsi="Cambria"/>
          <w:b/>
          <w:bCs/>
        </w:rPr>
        <w:t>Reförmchen</w:t>
      </w:r>
      <w:proofErr w:type="spellEnd"/>
      <w:r w:rsidRPr="007618F8">
        <w:rPr>
          <w:rFonts w:ascii="Cambria" w:hAnsi="Cambria"/>
          <w:b/>
          <w:bCs/>
        </w:rPr>
        <w:t>“?</w:t>
      </w:r>
    </w:p>
    <w:p w14:paraId="72BEE16D" w14:textId="0B1E49B3" w:rsidR="006E0B0D" w:rsidRDefault="006E0B0D" w:rsidP="006E0B0D">
      <w:pPr>
        <w:rPr>
          <w:rFonts w:ascii="Cambria" w:hAnsi="Cambria"/>
          <w:b/>
          <w:bCs/>
        </w:rPr>
      </w:pPr>
    </w:p>
    <w:p w14:paraId="7374B3AF" w14:textId="7EF44805" w:rsidR="009E3B5D" w:rsidRDefault="006E0B0D" w:rsidP="00A25D2D">
      <w:pPr>
        <w:jc w:val="both"/>
        <w:rPr>
          <w:rFonts w:ascii="Cambria" w:eastAsia="Times New Roman" w:hAnsi="Cambria" w:cs="Times New Roman"/>
          <w:color w:val="000000"/>
        </w:rPr>
      </w:pPr>
      <w:r w:rsidRPr="009E3B5D">
        <w:rPr>
          <w:rFonts w:ascii="Cambria" w:hAnsi="Cambria"/>
        </w:rPr>
        <w:t xml:space="preserve">Die Gemeinsame Agrarpolitik </w:t>
      </w:r>
      <w:r w:rsidR="009E3B5D">
        <w:rPr>
          <w:rFonts w:ascii="Cambria" w:hAnsi="Cambria"/>
        </w:rPr>
        <w:t xml:space="preserve">(GAP) </w:t>
      </w:r>
      <w:r w:rsidRPr="009E3B5D">
        <w:rPr>
          <w:rFonts w:ascii="Cambria" w:hAnsi="Cambria"/>
        </w:rPr>
        <w:t xml:space="preserve">ist in der öffentlichen Wahrnehmung etwas in den Hintergrund getreten. Nach wie vor „konsumiert“ sie </w:t>
      </w:r>
      <w:r w:rsidR="00172F38" w:rsidRPr="009E3B5D">
        <w:rPr>
          <w:rFonts w:ascii="Cambria" w:hAnsi="Cambria"/>
        </w:rPr>
        <w:t>rund ein Drittel</w:t>
      </w:r>
      <w:r w:rsidRPr="009E3B5D">
        <w:rPr>
          <w:rFonts w:ascii="Cambria" w:hAnsi="Cambria"/>
        </w:rPr>
        <w:t xml:space="preserve"> des EU-Haushalts.  Die Kommission hatte 2018 eine </w:t>
      </w:r>
      <w:r w:rsidR="00DA4930">
        <w:rPr>
          <w:rFonts w:ascii="Cambria" w:hAnsi="Cambria"/>
        </w:rPr>
        <w:t xml:space="preserve">grundlegende </w:t>
      </w:r>
      <w:r w:rsidRPr="009E3B5D">
        <w:rPr>
          <w:rFonts w:ascii="Cambria" w:hAnsi="Cambria"/>
        </w:rPr>
        <w:t xml:space="preserve">Reform dieser Politik vorgeschlagen, nicht zuletzt auch mit Blick </w:t>
      </w:r>
      <w:r w:rsidR="00336AB8" w:rsidRPr="009E3B5D">
        <w:rPr>
          <w:rFonts w:ascii="Cambria" w:hAnsi="Cambria"/>
        </w:rPr>
        <w:t>auf d</w:t>
      </w:r>
      <w:r w:rsidR="00C2154C" w:rsidRPr="009E3B5D">
        <w:rPr>
          <w:rFonts w:ascii="Cambria" w:hAnsi="Cambria"/>
        </w:rPr>
        <w:t xml:space="preserve">ie </w:t>
      </w:r>
      <w:r w:rsidR="006A16E5">
        <w:rPr>
          <w:rFonts w:ascii="Cambria" w:hAnsi="Cambria"/>
        </w:rPr>
        <w:t>mit der</w:t>
      </w:r>
      <w:r w:rsidR="00336AB8" w:rsidRPr="009E3B5D">
        <w:rPr>
          <w:rFonts w:ascii="Cambria" w:hAnsi="Cambria"/>
        </w:rPr>
        <w:t xml:space="preserve"> traditionellen</w:t>
      </w:r>
      <w:r w:rsidR="006A16E5">
        <w:rPr>
          <w:rFonts w:ascii="Cambria" w:hAnsi="Cambria"/>
        </w:rPr>
        <w:t xml:space="preserve"> </w:t>
      </w:r>
      <w:r w:rsidR="00336AB8" w:rsidRPr="009E3B5D">
        <w:rPr>
          <w:rFonts w:ascii="Cambria" w:hAnsi="Cambria"/>
        </w:rPr>
        <w:t xml:space="preserve">Landwirtschaft </w:t>
      </w:r>
      <w:r w:rsidR="007F1901">
        <w:rPr>
          <w:rFonts w:ascii="Cambria" w:hAnsi="Cambria"/>
        </w:rPr>
        <w:t>verbunden</w:t>
      </w:r>
      <w:r w:rsidR="00C41C9F" w:rsidRPr="009E3B5D">
        <w:rPr>
          <w:rFonts w:ascii="Cambria" w:hAnsi="Cambria"/>
        </w:rPr>
        <w:t xml:space="preserve">en Umweltbeeinträchtigungen </w:t>
      </w:r>
      <w:r w:rsidR="00C41C9F">
        <w:rPr>
          <w:rFonts w:ascii="Cambria" w:hAnsi="Cambria"/>
        </w:rPr>
        <w:t xml:space="preserve">und ihre Auswirkungen </w:t>
      </w:r>
      <w:r w:rsidR="00C2154C" w:rsidRPr="009E3B5D">
        <w:rPr>
          <w:rFonts w:ascii="Cambria" w:hAnsi="Cambria"/>
        </w:rPr>
        <w:t>auf den</w:t>
      </w:r>
      <w:r w:rsidR="00336AB8" w:rsidRPr="009E3B5D">
        <w:rPr>
          <w:rFonts w:ascii="Cambria" w:hAnsi="Cambria"/>
        </w:rPr>
        <w:t xml:space="preserve"> Klimawandel. Eigentlich hätte </w:t>
      </w:r>
      <w:r w:rsidR="00C2154C" w:rsidRPr="009E3B5D">
        <w:rPr>
          <w:rFonts w:ascii="Cambria" w:hAnsi="Cambria"/>
        </w:rPr>
        <w:t xml:space="preserve">die Reform </w:t>
      </w:r>
      <w:r w:rsidR="00C41C9F">
        <w:rPr>
          <w:rFonts w:ascii="Cambria" w:hAnsi="Cambria"/>
        </w:rPr>
        <w:t xml:space="preserve">schon bis </w:t>
      </w:r>
      <w:r w:rsidR="00C41C9F" w:rsidRPr="009E3B5D">
        <w:rPr>
          <w:rFonts w:ascii="Cambria" w:hAnsi="Cambria"/>
        </w:rPr>
        <w:t xml:space="preserve">Ende 2020 </w:t>
      </w:r>
      <w:r w:rsidR="00C41C9F">
        <w:rPr>
          <w:rFonts w:ascii="Cambria" w:hAnsi="Cambria"/>
        </w:rPr>
        <w:t>(</w:t>
      </w:r>
      <w:r w:rsidR="00336AB8" w:rsidRPr="009E3B5D">
        <w:rPr>
          <w:rFonts w:ascii="Cambria" w:hAnsi="Cambria"/>
        </w:rPr>
        <w:t>zusammen mit den anderen Grundsatzentscheidungen zur Mittelfristigen Finanzplanung 2021-2027</w:t>
      </w:r>
      <w:r w:rsidR="00C41C9F">
        <w:rPr>
          <w:rFonts w:ascii="Cambria" w:hAnsi="Cambria"/>
        </w:rPr>
        <w:t>)</w:t>
      </w:r>
      <w:r w:rsidR="00336AB8" w:rsidRPr="009E3B5D">
        <w:rPr>
          <w:rFonts w:ascii="Cambria" w:hAnsi="Cambria"/>
        </w:rPr>
        <w:t xml:space="preserve"> </w:t>
      </w:r>
      <w:r w:rsidR="00C2154C" w:rsidRPr="009E3B5D">
        <w:rPr>
          <w:rFonts w:ascii="Cambria" w:hAnsi="Cambria"/>
        </w:rPr>
        <w:t>beschloss</w:t>
      </w:r>
      <w:r w:rsidR="00336AB8" w:rsidRPr="009E3B5D">
        <w:rPr>
          <w:rFonts w:ascii="Cambria" w:hAnsi="Cambria"/>
        </w:rPr>
        <w:t xml:space="preserve">en </w:t>
      </w:r>
      <w:r w:rsidR="00C2154C" w:rsidRPr="009E3B5D">
        <w:rPr>
          <w:rFonts w:ascii="Cambria" w:hAnsi="Cambria"/>
        </w:rPr>
        <w:t xml:space="preserve">werden </w:t>
      </w:r>
      <w:r w:rsidR="00336AB8" w:rsidRPr="009E3B5D">
        <w:rPr>
          <w:rFonts w:ascii="Cambria" w:hAnsi="Cambria"/>
        </w:rPr>
        <w:t xml:space="preserve">sollen. </w:t>
      </w:r>
      <w:r w:rsidR="00C2154C" w:rsidRPr="009E3B5D">
        <w:rPr>
          <w:rFonts w:ascii="Cambria" w:hAnsi="Cambria"/>
        </w:rPr>
        <w:t xml:space="preserve">Eine Einigung zwischen den Mitgliedstaaten und im Parlament kam aber </w:t>
      </w:r>
      <w:r w:rsidR="009E3B5D">
        <w:rPr>
          <w:rFonts w:ascii="Cambria" w:hAnsi="Cambria"/>
        </w:rPr>
        <w:t xml:space="preserve">erst </w:t>
      </w:r>
      <w:r w:rsidR="009E3B5D" w:rsidRPr="009E3B5D">
        <w:rPr>
          <w:rFonts w:ascii="Cambria" w:hAnsi="Cambria"/>
        </w:rPr>
        <w:t xml:space="preserve">Ende Juni </w:t>
      </w:r>
      <w:r w:rsidR="009812E8">
        <w:rPr>
          <w:rFonts w:ascii="Cambria" w:hAnsi="Cambria"/>
        </w:rPr>
        <w:t xml:space="preserve">2021 </w:t>
      </w:r>
      <w:r w:rsidR="00C2154C" w:rsidRPr="009E3B5D">
        <w:rPr>
          <w:rFonts w:ascii="Cambria" w:hAnsi="Cambria"/>
        </w:rPr>
        <w:t>nach außerordentlich schwierigen Verhandlungen zustande. Das Ergebnis hat viel Kritik ausgelöst. Der große Wurf zur Reform der G</w:t>
      </w:r>
      <w:r w:rsidR="009E3B5D">
        <w:rPr>
          <w:rFonts w:ascii="Cambria" w:hAnsi="Cambria"/>
        </w:rPr>
        <w:t>AP</w:t>
      </w:r>
      <w:r w:rsidR="00C2154C" w:rsidRPr="009E3B5D">
        <w:rPr>
          <w:rFonts w:ascii="Cambria" w:hAnsi="Cambria"/>
        </w:rPr>
        <w:t xml:space="preserve"> ist </w:t>
      </w:r>
      <w:r w:rsidR="002A676A">
        <w:rPr>
          <w:rFonts w:ascii="Cambria" w:hAnsi="Cambria"/>
        </w:rPr>
        <w:t xml:space="preserve">wohl </w:t>
      </w:r>
      <w:r w:rsidR="00C2154C" w:rsidRPr="009E3B5D">
        <w:rPr>
          <w:rFonts w:ascii="Cambria" w:hAnsi="Cambria"/>
        </w:rPr>
        <w:t xml:space="preserve">wieder einmal ausgeblieben. </w:t>
      </w:r>
      <w:r w:rsidR="00C43F40" w:rsidRPr="009E3B5D">
        <w:rPr>
          <w:rFonts w:ascii="Cambria" w:hAnsi="Cambria"/>
        </w:rPr>
        <w:t>Nicht ganz zu Unrecht wird die Reform von Vielen als bloßes „</w:t>
      </w:r>
      <w:proofErr w:type="spellStart"/>
      <w:r w:rsidR="00C43F40" w:rsidRPr="009E3B5D">
        <w:rPr>
          <w:rFonts w:ascii="Cambria" w:hAnsi="Cambria"/>
        </w:rPr>
        <w:t>Reförmchen</w:t>
      </w:r>
      <w:proofErr w:type="spellEnd"/>
      <w:r w:rsidR="00C43F40" w:rsidRPr="009E3B5D">
        <w:rPr>
          <w:rFonts w:ascii="Cambria" w:hAnsi="Cambria"/>
        </w:rPr>
        <w:t>“ abgetan.</w:t>
      </w:r>
      <w:r w:rsidR="00C43F40" w:rsidRPr="009E3B5D">
        <w:rPr>
          <w:rFonts w:ascii="Cambria" w:hAnsi="Cambria"/>
          <w:color w:val="000000"/>
        </w:rPr>
        <w:t xml:space="preserve"> </w:t>
      </w:r>
      <w:r w:rsidR="009E3B5D">
        <w:rPr>
          <w:rFonts w:ascii="Cambria" w:hAnsi="Cambria"/>
        </w:rPr>
        <w:t>Die Feststellung der portugiesischen Ratspräsidentin, man habe sich „</w:t>
      </w:r>
      <w:r w:rsidR="009E3B5D" w:rsidRPr="009E3B5D">
        <w:rPr>
          <w:rFonts w:ascii="Cambria" w:eastAsia="Times New Roman" w:hAnsi="Cambria" w:cs="Times New Roman"/>
          <w:color w:val="000000"/>
        </w:rPr>
        <w:t>auf die bisher ehrgeizigste GAP geeinigt</w:t>
      </w:r>
      <w:r w:rsidR="009E3B5D">
        <w:rPr>
          <w:rFonts w:ascii="Cambria" w:eastAsia="Times New Roman" w:hAnsi="Cambria" w:cs="Times New Roman"/>
          <w:color w:val="000000"/>
        </w:rPr>
        <w:t xml:space="preserve">“, erscheint </w:t>
      </w:r>
      <w:r w:rsidR="009812E8">
        <w:rPr>
          <w:rFonts w:ascii="Cambria" w:eastAsia="Times New Roman" w:hAnsi="Cambria" w:cs="Times New Roman"/>
          <w:color w:val="000000"/>
        </w:rPr>
        <w:t>jedenfalls</w:t>
      </w:r>
      <w:r w:rsidR="009E3B5D">
        <w:rPr>
          <w:rFonts w:ascii="Cambria" w:eastAsia="Times New Roman" w:hAnsi="Cambria" w:cs="Times New Roman"/>
          <w:color w:val="000000"/>
        </w:rPr>
        <w:t xml:space="preserve"> reichlich übertrieben. </w:t>
      </w:r>
      <w:r w:rsidR="009E3B5D" w:rsidRPr="009E3B5D">
        <w:rPr>
          <w:rFonts w:ascii="Cambria" w:hAnsi="Cambria"/>
        </w:rPr>
        <w:t xml:space="preserve"> </w:t>
      </w:r>
      <w:r w:rsidR="00C43F40">
        <w:rPr>
          <w:rFonts w:ascii="Cambria" w:hAnsi="Cambria"/>
          <w:color w:val="000000"/>
        </w:rPr>
        <w:t>Die Reform</w:t>
      </w:r>
      <w:r w:rsidR="009E3B5D">
        <w:rPr>
          <w:rFonts w:ascii="Cambria" w:hAnsi="Cambria"/>
          <w:color w:val="000000"/>
        </w:rPr>
        <w:t xml:space="preserve"> wird auch erst 2023 in Kraft treten. </w:t>
      </w:r>
    </w:p>
    <w:p w14:paraId="3A9C3603" w14:textId="47CB4263" w:rsidR="00A25D2D" w:rsidRPr="00C43F40" w:rsidRDefault="00A25D2D" w:rsidP="00A25D2D">
      <w:pPr>
        <w:pStyle w:val="berschrift3"/>
        <w:jc w:val="both"/>
        <w:rPr>
          <w:rFonts w:ascii="Cambria" w:hAnsi="Cambria"/>
          <w:b w:val="0"/>
          <w:bCs w:val="0"/>
          <w:sz w:val="24"/>
          <w:szCs w:val="24"/>
        </w:rPr>
      </w:pPr>
      <w:r>
        <w:rPr>
          <w:rFonts w:ascii="Cambria" w:hAnsi="Cambria"/>
          <w:b w:val="0"/>
          <w:bCs w:val="0"/>
          <w:sz w:val="24"/>
          <w:szCs w:val="24"/>
        </w:rPr>
        <w:t xml:space="preserve">Im Rahmen unionsrechtlich vorgegebener Ziele und Grundsätze wird die reformierte GAP nochmals dezentraler ausgestaltet. </w:t>
      </w:r>
      <w:r w:rsidRPr="00C43F40">
        <w:rPr>
          <w:rFonts w:ascii="Cambria" w:hAnsi="Cambria"/>
          <w:b w:val="0"/>
          <w:bCs w:val="0"/>
          <w:sz w:val="24"/>
          <w:szCs w:val="24"/>
        </w:rPr>
        <w:t>Jede</w:t>
      </w:r>
      <w:r>
        <w:rPr>
          <w:rFonts w:ascii="Cambria" w:hAnsi="Cambria"/>
          <w:b w:val="0"/>
          <w:bCs w:val="0"/>
          <w:sz w:val="24"/>
          <w:szCs w:val="24"/>
        </w:rPr>
        <w:t>r Mitgliedsstaat</w:t>
      </w:r>
      <w:r w:rsidRPr="00C43F40">
        <w:rPr>
          <w:rFonts w:ascii="Cambria" w:hAnsi="Cambria"/>
          <w:b w:val="0"/>
          <w:bCs w:val="0"/>
          <w:sz w:val="24"/>
          <w:szCs w:val="24"/>
        </w:rPr>
        <w:t xml:space="preserve"> </w:t>
      </w:r>
      <w:r>
        <w:rPr>
          <w:rFonts w:ascii="Cambria" w:hAnsi="Cambria"/>
          <w:b w:val="0"/>
          <w:bCs w:val="0"/>
          <w:sz w:val="24"/>
          <w:szCs w:val="24"/>
        </w:rPr>
        <w:t>muss</w:t>
      </w:r>
      <w:r w:rsidRPr="00C43F40">
        <w:rPr>
          <w:rFonts w:ascii="Cambria" w:hAnsi="Cambria"/>
          <w:b w:val="0"/>
          <w:bCs w:val="0"/>
          <w:sz w:val="24"/>
          <w:szCs w:val="24"/>
        </w:rPr>
        <w:t xml:space="preserve"> einen nationalen Strategieplan ausarbeiten, der </w:t>
      </w:r>
      <w:r>
        <w:rPr>
          <w:rFonts w:ascii="Cambria" w:hAnsi="Cambria"/>
          <w:b w:val="0"/>
          <w:bCs w:val="0"/>
          <w:sz w:val="24"/>
          <w:szCs w:val="24"/>
        </w:rPr>
        <w:t xml:space="preserve">insbesondere die </w:t>
      </w:r>
      <w:r w:rsidRPr="00C43F40">
        <w:rPr>
          <w:rFonts w:ascii="Cambria" w:hAnsi="Cambria"/>
          <w:b w:val="0"/>
          <w:bCs w:val="0"/>
          <w:sz w:val="24"/>
          <w:szCs w:val="24"/>
        </w:rPr>
        <w:t xml:space="preserve">Mittel für </w:t>
      </w:r>
      <w:r>
        <w:rPr>
          <w:rFonts w:ascii="Cambria" w:hAnsi="Cambria"/>
          <w:b w:val="0"/>
          <w:bCs w:val="0"/>
          <w:sz w:val="24"/>
          <w:szCs w:val="24"/>
        </w:rPr>
        <w:t xml:space="preserve">die direkte </w:t>
      </w:r>
      <w:r w:rsidRPr="00C43F40">
        <w:rPr>
          <w:rFonts w:ascii="Cambria" w:hAnsi="Cambria"/>
          <w:b w:val="0"/>
          <w:bCs w:val="0"/>
          <w:sz w:val="24"/>
          <w:szCs w:val="24"/>
        </w:rPr>
        <w:t>Einkommensförderung</w:t>
      </w:r>
      <w:r>
        <w:rPr>
          <w:rFonts w:ascii="Cambria" w:hAnsi="Cambria"/>
          <w:b w:val="0"/>
          <w:bCs w:val="0"/>
          <w:sz w:val="24"/>
          <w:szCs w:val="24"/>
        </w:rPr>
        <w:t xml:space="preserve"> und für die </w:t>
      </w:r>
      <w:r w:rsidRPr="00C43F40">
        <w:rPr>
          <w:rFonts w:ascii="Cambria" w:hAnsi="Cambria"/>
          <w:b w:val="0"/>
          <w:bCs w:val="0"/>
          <w:sz w:val="24"/>
          <w:szCs w:val="24"/>
        </w:rPr>
        <w:t xml:space="preserve">ländliche Entwicklung </w:t>
      </w:r>
      <w:r>
        <w:rPr>
          <w:rFonts w:ascii="Cambria" w:hAnsi="Cambria"/>
          <w:b w:val="0"/>
          <w:bCs w:val="0"/>
          <w:sz w:val="24"/>
          <w:szCs w:val="24"/>
        </w:rPr>
        <w:t>festlegt</w:t>
      </w:r>
      <w:r w:rsidRPr="00C43F40">
        <w:rPr>
          <w:rFonts w:ascii="Cambria" w:hAnsi="Cambria"/>
          <w:b w:val="0"/>
          <w:bCs w:val="0"/>
          <w:sz w:val="24"/>
          <w:szCs w:val="24"/>
        </w:rPr>
        <w:t xml:space="preserve">. </w:t>
      </w:r>
      <w:r>
        <w:rPr>
          <w:rFonts w:ascii="Cambria" w:hAnsi="Cambria"/>
          <w:b w:val="0"/>
          <w:bCs w:val="0"/>
          <w:sz w:val="24"/>
          <w:szCs w:val="24"/>
        </w:rPr>
        <w:t>Die Pläne sollen „</w:t>
      </w:r>
      <w:r w:rsidRPr="00C43F40">
        <w:rPr>
          <w:rFonts w:ascii="Cambria" w:hAnsi="Cambria"/>
          <w:b w:val="0"/>
          <w:bCs w:val="0"/>
          <w:sz w:val="24"/>
          <w:szCs w:val="24"/>
        </w:rPr>
        <w:t>ein Instrumentarium breit angelegter politischer Maßnahmen bereitstellen, das auf die nationalen Bedürfnisse und Fähigkeiten zugeschnitten werden kann.</w:t>
      </w:r>
      <w:r>
        <w:rPr>
          <w:rFonts w:ascii="Cambria" w:hAnsi="Cambria"/>
          <w:b w:val="0"/>
          <w:bCs w:val="0"/>
          <w:sz w:val="24"/>
          <w:szCs w:val="24"/>
        </w:rPr>
        <w:t>“</w:t>
      </w:r>
      <w:r w:rsidRPr="00C43F40">
        <w:rPr>
          <w:rFonts w:ascii="Cambria" w:hAnsi="Cambria"/>
          <w:b w:val="0"/>
          <w:bCs w:val="0"/>
          <w:sz w:val="24"/>
          <w:szCs w:val="24"/>
        </w:rPr>
        <w:t xml:space="preserve"> </w:t>
      </w:r>
      <w:r>
        <w:rPr>
          <w:rFonts w:ascii="Cambria" w:hAnsi="Cambria"/>
          <w:b w:val="0"/>
          <w:bCs w:val="0"/>
          <w:sz w:val="24"/>
          <w:szCs w:val="24"/>
        </w:rPr>
        <w:t xml:space="preserve"> Noch mehr als bisher obliegt es also den Mitgliedstaaten, die agrarpolitischen (Förder-)Maßnahmen auszugestalten.</w:t>
      </w:r>
    </w:p>
    <w:p w14:paraId="073707E2" w14:textId="14D17205" w:rsidR="0034653B" w:rsidRPr="00C43F40" w:rsidRDefault="00A25D2D" w:rsidP="0034653B">
      <w:pPr>
        <w:pStyle w:val="berschrift3"/>
        <w:jc w:val="both"/>
        <w:rPr>
          <w:rFonts w:ascii="Cambria" w:hAnsi="Cambria"/>
          <w:b w:val="0"/>
          <w:bCs w:val="0"/>
          <w:sz w:val="24"/>
          <w:szCs w:val="24"/>
        </w:rPr>
      </w:pPr>
      <w:r>
        <w:rPr>
          <w:rFonts w:ascii="Cambria" w:hAnsi="Cambria"/>
          <w:b w:val="0"/>
          <w:bCs w:val="0"/>
          <w:sz w:val="24"/>
          <w:szCs w:val="24"/>
        </w:rPr>
        <w:t xml:space="preserve">Vorrangiges Ziel der </w:t>
      </w:r>
      <w:r w:rsidR="006A16E5">
        <w:rPr>
          <w:rFonts w:ascii="Cambria" w:hAnsi="Cambria"/>
          <w:b w:val="0"/>
          <w:bCs w:val="0"/>
          <w:sz w:val="24"/>
          <w:szCs w:val="24"/>
        </w:rPr>
        <w:t xml:space="preserve">Reform </w:t>
      </w:r>
      <w:r>
        <w:rPr>
          <w:rFonts w:ascii="Cambria" w:hAnsi="Cambria"/>
          <w:b w:val="0"/>
          <w:bCs w:val="0"/>
          <w:sz w:val="24"/>
          <w:szCs w:val="24"/>
        </w:rPr>
        <w:t xml:space="preserve">ist eine </w:t>
      </w:r>
      <w:r w:rsidR="00C43F40" w:rsidRPr="00C43F40">
        <w:rPr>
          <w:rFonts w:ascii="Cambria" w:hAnsi="Cambria"/>
          <w:b w:val="0"/>
          <w:bCs w:val="0"/>
          <w:sz w:val="24"/>
          <w:szCs w:val="24"/>
        </w:rPr>
        <w:t>grünere GAP</w:t>
      </w:r>
      <w:r>
        <w:rPr>
          <w:rFonts w:ascii="Cambria" w:hAnsi="Cambria"/>
          <w:b w:val="0"/>
          <w:bCs w:val="0"/>
          <w:sz w:val="24"/>
          <w:szCs w:val="24"/>
        </w:rPr>
        <w:t>. Die nationale</w:t>
      </w:r>
      <w:r w:rsidR="004C0E50">
        <w:rPr>
          <w:rFonts w:ascii="Cambria" w:hAnsi="Cambria"/>
          <w:b w:val="0"/>
          <w:bCs w:val="0"/>
          <w:sz w:val="24"/>
          <w:szCs w:val="24"/>
        </w:rPr>
        <w:t>n</w:t>
      </w:r>
      <w:r>
        <w:rPr>
          <w:rFonts w:ascii="Cambria" w:hAnsi="Cambria"/>
          <w:b w:val="0"/>
          <w:bCs w:val="0"/>
          <w:sz w:val="24"/>
          <w:szCs w:val="24"/>
        </w:rPr>
        <w:t xml:space="preserve"> Strategiepläne müssen gegenüber der Vergangenheit höhere Ziele mit Blick auf </w:t>
      </w:r>
      <w:r w:rsidR="0034653B">
        <w:rPr>
          <w:rFonts w:ascii="Cambria" w:hAnsi="Cambria"/>
          <w:b w:val="0"/>
          <w:bCs w:val="0"/>
          <w:sz w:val="24"/>
          <w:szCs w:val="24"/>
        </w:rPr>
        <w:t>Umwelt und Klima festlegen und auch gezielt zu den Zielen des Gr</w:t>
      </w:r>
      <w:r w:rsidR="00C41C9F">
        <w:rPr>
          <w:rFonts w:ascii="Cambria" w:hAnsi="Cambria"/>
          <w:b w:val="0"/>
          <w:bCs w:val="0"/>
          <w:sz w:val="24"/>
          <w:szCs w:val="24"/>
        </w:rPr>
        <w:t>ünen</w:t>
      </w:r>
      <w:r w:rsidR="0034653B">
        <w:rPr>
          <w:rFonts w:ascii="Cambria" w:hAnsi="Cambria"/>
          <w:b w:val="0"/>
          <w:bCs w:val="0"/>
          <w:sz w:val="24"/>
          <w:szCs w:val="24"/>
        </w:rPr>
        <w:t xml:space="preserve"> Deal beitragen</w:t>
      </w:r>
      <w:r w:rsidR="009812E8">
        <w:rPr>
          <w:rFonts w:ascii="Cambria" w:hAnsi="Cambria"/>
          <w:b w:val="0"/>
          <w:bCs w:val="0"/>
          <w:sz w:val="24"/>
          <w:szCs w:val="24"/>
        </w:rPr>
        <w:t>:</w:t>
      </w:r>
      <w:r w:rsidR="007F1901">
        <w:rPr>
          <w:rFonts w:ascii="Cambria" w:hAnsi="Cambria"/>
          <w:b w:val="0"/>
          <w:bCs w:val="0"/>
          <w:sz w:val="24"/>
          <w:szCs w:val="24"/>
        </w:rPr>
        <w:t xml:space="preserve"> </w:t>
      </w:r>
      <w:r w:rsidR="009812E8">
        <w:rPr>
          <w:rFonts w:ascii="Cambria" w:hAnsi="Cambria"/>
          <w:b w:val="0"/>
          <w:bCs w:val="0"/>
          <w:sz w:val="24"/>
          <w:szCs w:val="24"/>
        </w:rPr>
        <w:t xml:space="preserve">(1) </w:t>
      </w:r>
      <w:r w:rsidR="004C0E50">
        <w:rPr>
          <w:rFonts w:ascii="Cambria" w:hAnsi="Cambria"/>
          <w:b w:val="0"/>
          <w:bCs w:val="0"/>
          <w:sz w:val="24"/>
          <w:szCs w:val="24"/>
        </w:rPr>
        <w:t>Generell sind die flächengebundenen Direktzahlungen</w:t>
      </w:r>
      <w:r w:rsidR="004C0E50" w:rsidRPr="00C43F40">
        <w:rPr>
          <w:rFonts w:ascii="Cambria" w:hAnsi="Cambria"/>
          <w:b w:val="0"/>
          <w:bCs w:val="0"/>
          <w:sz w:val="24"/>
          <w:szCs w:val="24"/>
        </w:rPr>
        <w:t xml:space="preserve"> </w:t>
      </w:r>
      <w:r w:rsidR="004C0E50">
        <w:rPr>
          <w:rFonts w:ascii="Cambria" w:hAnsi="Cambria"/>
          <w:b w:val="0"/>
          <w:bCs w:val="0"/>
          <w:sz w:val="24"/>
          <w:szCs w:val="24"/>
        </w:rPr>
        <w:t>an Landwirte an verstärkte Umwelta</w:t>
      </w:r>
      <w:r w:rsidR="004C0E50" w:rsidRPr="00C43F40">
        <w:rPr>
          <w:rFonts w:ascii="Cambria" w:hAnsi="Cambria"/>
          <w:b w:val="0"/>
          <w:bCs w:val="0"/>
          <w:sz w:val="24"/>
          <w:szCs w:val="24"/>
        </w:rPr>
        <w:t xml:space="preserve">nforderungen </w:t>
      </w:r>
      <w:r w:rsidR="0034653B" w:rsidRPr="00C43F40">
        <w:rPr>
          <w:rFonts w:ascii="Cambria" w:hAnsi="Cambria"/>
          <w:b w:val="0"/>
          <w:bCs w:val="0"/>
          <w:sz w:val="24"/>
          <w:szCs w:val="24"/>
        </w:rPr>
        <w:t xml:space="preserve">geknüpft. So </w:t>
      </w:r>
      <w:r w:rsidR="0034653B">
        <w:rPr>
          <w:rFonts w:ascii="Cambria" w:hAnsi="Cambria"/>
          <w:b w:val="0"/>
          <w:bCs w:val="0"/>
          <w:sz w:val="24"/>
          <w:szCs w:val="24"/>
        </w:rPr>
        <w:t>müssen etwa</w:t>
      </w:r>
      <w:r w:rsidR="0034653B" w:rsidRPr="00C43F40">
        <w:rPr>
          <w:rFonts w:ascii="Cambria" w:hAnsi="Cambria"/>
          <w:b w:val="0"/>
          <w:bCs w:val="0"/>
          <w:sz w:val="24"/>
          <w:szCs w:val="24"/>
        </w:rPr>
        <w:t xml:space="preserve"> in jedem landwirtschaftlichen Betrieb mindestens 3 % der Ackerflächen der biologischen Vielfalt gewidmet</w:t>
      </w:r>
      <w:r w:rsidR="0034653B">
        <w:rPr>
          <w:rFonts w:ascii="Cambria" w:hAnsi="Cambria"/>
          <w:b w:val="0"/>
          <w:bCs w:val="0"/>
          <w:sz w:val="24"/>
          <w:szCs w:val="24"/>
        </w:rPr>
        <w:t xml:space="preserve"> </w:t>
      </w:r>
      <w:r w:rsidR="009812E8" w:rsidRPr="00C43F40">
        <w:rPr>
          <w:rFonts w:ascii="Cambria" w:hAnsi="Cambria"/>
          <w:b w:val="0"/>
          <w:bCs w:val="0"/>
          <w:sz w:val="24"/>
          <w:szCs w:val="24"/>
        </w:rPr>
        <w:t>und</w:t>
      </w:r>
      <w:r w:rsidR="009812E8">
        <w:rPr>
          <w:rFonts w:ascii="Cambria" w:hAnsi="Cambria"/>
          <w:b w:val="0"/>
          <w:bCs w:val="0"/>
          <w:sz w:val="24"/>
          <w:szCs w:val="24"/>
        </w:rPr>
        <w:t xml:space="preserve"> aus der Produktion herausgenommen </w:t>
      </w:r>
      <w:r w:rsidR="0034653B">
        <w:rPr>
          <w:rFonts w:ascii="Cambria" w:hAnsi="Cambria"/>
          <w:b w:val="0"/>
          <w:bCs w:val="0"/>
          <w:sz w:val="24"/>
          <w:szCs w:val="24"/>
        </w:rPr>
        <w:t xml:space="preserve">werden. </w:t>
      </w:r>
      <w:r w:rsidR="009812E8">
        <w:rPr>
          <w:rFonts w:ascii="Cambria" w:hAnsi="Cambria"/>
          <w:b w:val="0"/>
          <w:bCs w:val="0"/>
          <w:sz w:val="24"/>
          <w:szCs w:val="24"/>
        </w:rPr>
        <w:t xml:space="preserve">(2) </w:t>
      </w:r>
      <w:r w:rsidR="004C0E50">
        <w:rPr>
          <w:rFonts w:ascii="Cambria" w:hAnsi="Cambria"/>
          <w:b w:val="0"/>
          <w:bCs w:val="0"/>
          <w:sz w:val="24"/>
          <w:szCs w:val="24"/>
        </w:rPr>
        <w:t xml:space="preserve">Von den ihnen </w:t>
      </w:r>
      <w:r w:rsidR="00F70E7D">
        <w:rPr>
          <w:rFonts w:ascii="Cambria" w:hAnsi="Cambria"/>
          <w:b w:val="0"/>
          <w:bCs w:val="0"/>
          <w:sz w:val="24"/>
          <w:szCs w:val="24"/>
        </w:rPr>
        <w:t xml:space="preserve">insgesamt </w:t>
      </w:r>
      <w:r w:rsidR="004C0E50">
        <w:rPr>
          <w:rFonts w:ascii="Cambria" w:hAnsi="Cambria"/>
          <w:b w:val="0"/>
          <w:bCs w:val="0"/>
          <w:sz w:val="24"/>
          <w:szCs w:val="24"/>
        </w:rPr>
        <w:t xml:space="preserve">zur Verfügung stehenden </w:t>
      </w:r>
      <w:r w:rsidR="00C43F40" w:rsidRPr="00C43F40">
        <w:rPr>
          <w:rFonts w:ascii="Cambria" w:hAnsi="Cambria"/>
          <w:b w:val="0"/>
          <w:bCs w:val="0"/>
          <w:sz w:val="24"/>
          <w:szCs w:val="24"/>
        </w:rPr>
        <w:t>Mittel</w:t>
      </w:r>
      <w:r w:rsidR="004C0E50">
        <w:rPr>
          <w:rFonts w:ascii="Cambria" w:hAnsi="Cambria"/>
          <w:b w:val="0"/>
          <w:bCs w:val="0"/>
          <w:sz w:val="24"/>
          <w:szCs w:val="24"/>
        </w:rPr>
        <w:t>n</w:t>
      </w:r>
      <w:r w:rsidR="00C43F40" w:rsidRPr="00C43F40">
        <w:rPr>
          <w:rFonts w:ascii="Cambria" w:hAnsi="Cambria"/>
          <w:b w:val="0"/>
          <w:bCs w:val="0"/>
          <w:sz w:val="24"/>
          <w:szCs w:val="24"/>
        </w:rPr>
        <w:t xml:space="preserve"> für Direktzahlungen </w:t>
      </w:r>
      <w:r w:rsidR="004C0E50">
        <w:rPr>
          <w:rFonts w:ascii="Cambria" w:hAnsi="Cambria"/>
          <w:b w:val="0"/>
          <w:bCs w:val="0"/>
          <w:sz w:val="24"/>
          <w:szCs w:val="24"/>
        </w:rPr>
        <w:t>müssen die Mitgliedsstaaten m</w:t>
      </w:r>
      <w:r w:rsidR="004C0E50" w:rsidRPr="00C43F40">
        <w:rPr>
          <w:rFonts w:ascii="Cambria" w:hAnsi="Cambria"/>
          <w:b w:val="0"/>
          <w:bCs w:val="0"/>
          <w:sz w:val="24"/>
          <w:szCs w:val="24"/>
        </w:rPr>
        <w:t xml:space="preserve">indestens 25 % </w:t>
      </w:r>
      <w:r w:rsidR="006A16E5">
        <w:rPr>
          <w:rFonts w:ascii="Cambria" w:hAnsi="Cambria"/>
          <w:b w:val="0"/>
          <w:bCs w:val="0"/>
          <w:sz w:val="24"/>
          <w:szCs w:val="24"/>
        </w:rPr>
        <w:t xml:space="preserve">sog. </w:t>
      </w:r>
      <w:r w:rsidR="00C43F40" w:rsidRPr="00C43F40">
        <w:rPr>
          <w:rFonts w:ascii="Cambria" w:hAnsi="Cambria"/>
          <w:b w:val="0"/>
          <w:bCs w:val="0"/>
          <w:sz w:val="24"/>
          <w:szCs w:val="24"/>
        </w:rPr>
        <w:t xml:space="preserve">Öko-Regelungen </w:t>
      </w:r>
      <w:r w:rsidR="006A16E5">
        <w:rPr>
          <w:rFonts w:ascii="Cambria" w:hAnsi="Cambria"/>
          <w:b w:val="0"/>
          <w:bCs w:val="0"/>
          <w:sz w:val="24"/>
          <w:szCs w:val="24"/>
        </w:rPr>
        <w:t>vorbehalt</w:t>
      </w:r>
      <w:r w:rsidR="00C43F40" w:rsidRPr="00C43F40">
        <w:rPr>
          <w:rFonts w:ascii="Cambria" w:hAnsi="Cambria"/>
          <w:b w:val="0"/>
          <w:bCs w:val="0"/>
          <w:sz w:val="24"/>
          <w:szCs w:val="24"/>
        </w:rPr>
        <w:t>en</w:t>
      </w:r>
      <w:r w:rsidR="004C0E50">
        <w:rPr>
          <w:rFonts w:ascii="Cambria" w:hAnsi="Cambria"/>
          <w:b w:val="0"/>
          <w:bCs w:val="0"/>
          <w:sz w:val="24"/>
          <w:szCs w:val="24"/>
        </w:rPr>
        <w:t xml:space="preserve">. Damit sollen </w:t>
      </w:r>
      <w:r w:rsidR="00C43F40" w:rsidRPr="00C43F40">
        <w:rPr>
          <w:rFonts w:ascii="Cambria" w:hAnsi="Cambria"/>
          <w:b w:val="0"/>
          <w:bCs w:val="0"/>
          <w:sz w:val="24"/>
          <w:szCs w:val="24"/>
        </w:rPr>
        <w:t xml:space="preserve">stärkere Anreize für klima- und umweltfreundliche Bewirtschaftungsmethoden und -konzepte (z. B. ökologischer Landbau) sowie </w:t>
      </w:r>
      <w:r w:rsidR="009812E8">
        <w:rPr>
          <w:rFonts w:ascii="Cambria" w:hAnsi="Cambria"/>
          <w:b w:val="0"/>
          <w:bCs w:val="0"/>
          <w:sz w:val="24"/>
          <w:szCs w:val="24"/>
        </w:rPr>
        <w:t xml:space="preserve">für </w:t>
      </w:r>
      <w:r w:rsidR="00C43F40" w:rsidRPr="00C43F40">
        <w:rPr>
          <w:rFonts w:ascii="Cambria" w:hAnsi="Cambria"/>
          <w:b w:val="0"/>
          <w:bCs w:val="0"/>
          <w:sz w:val="24"/>
          <w:szCs w:val="24"/>
        </w:rPr>
        <w:t>Verbesserungen des Tierschutzes geschaffen werden</w:t>
      </w:r>
      <w:r w:rsidR="0034653B">
        <w:rPr>
          <w:rFonts w:ascii="Cambria" w:hAnsi="Cambria"/>
          <w:b w:val="0"/>
          <w:bCs w:val="0"/>
          <w:sz w:val="24"/>
          <w:szCs w:val="24"/>
        </w:rPr>
        <w:t xml:space="preserve">. </w:t>
      </w:r>
      <w:r w:rsidR="009812E8">
        <w:rPr>
          <w:rFonts w:ascii="Cambria" w:hAnsi="Cambria"/>
          <w:b w:val="0"/>
          <w:bCs w:val="0"/>
          <w:sz w:val="24"/>
          <w:szCs w:val="24"/>
        </w:rPr>
        <w:t xml:space="preserve">(3) </w:t>
      </w:r>
      <w:r w:rsidR="0034653B">
        <w:rPr>
          <w:rFonts w:ascii="Cambria" w:hAnsi="Cambria"/>
          <w:b w:val="0"/>
          <w:bCs w:val="0"/>
          <w:sz w:val="24"/>
          <w:szCs w:val="24"/>
        </w:rPr>
        <w:t>Auch im Rahmen der (neben den Direktzahlungen immer wichtigere</w:t>
      </w:r>
      <w:r w:rsidR="00C41C9F">
        <w:rPr>
          <w:rFonts w:ascii="Cambria" w:hAnsi="Cambria"/>
          <w:b w:val="0"/>
          <w:bCs w:val="0"/>
          <w:sz w:val="24"/>
          <w:szCs w:val="24"/>
        </w:rPr>
        <w:t>n</w:t>
      </w:r>
      <w:r w:rsidR="0034653B">
        <w:rPr>
          <w:rFonts w:ascii="Cambria" w:hAnsi="Cambria"/>
          <w:b w:val="0"/>
          <w:bCs w:val="0"/>
          <w:sz w:val="24"/>
          <w:szCs w:val="24"/>
        </w:rPr>
        <w:t xml:space="preserve">) Förderung der Entwicklung </w:t>
      </w:r>
      <w:r w:rsidR="0034653B" w:rsidRPr="00C43F40">
        <w:rPr>
          <w:rFonts w:ascii="Cambria" w:hAnsi="Cambria"/>
          <w:b w:val="0"/>
          <w:bCs w:val="0"/>
          <w:sz w:val="24"/>
          <w:szCs w:val="24"/>
        </w:rPr>
        <w:t>des ländlichen Raums</w:t>
      </w:r>
      <w:r w:rsidR="0034653B">
        <w:rPr>
          <w:rFonts w:ascii="Cambria" w:hAnsi="Cambria"/>
          <w:b w:val="0"/>
          <w:bCs w:val="0"/>
          <w:sz w:val="24"/>
          <w:szCs w:val="24"/>
        </w:rPr>
        <w:t xml:space="preserve"> wird ein beträchtlicher Anteil </w:t>
      </w:r>
      <w:r w:rsidR="0034653B" w:rsidRPr="00C43F40">
        <w:rPr>
          <w:rFonts w:ascii="Cambria" w:hAnsi="Cambria"/>
          <w:b w:val="0"/>
          <w:bCs w:val="0"/>
          <w:sz w:val="24"/>
          <w:szCs w:val="24"/>
        </w:rPr>
        <w:t xml:space="preserve">der Mittel </w:t>
      </w:r>
      <w:r w:rsidR="0034653B">
        <w:rPr>
          <w:rFonts w:ascii="Cambria" w:hAnsi="Cambria"/>
          <w:b w:val="0"/>
          <w:bCs w:val="0"/>
          <w:sz w:val="24"/>
          <w:szCs w:val="24"/>
        </w:rPr>
        <w:t>(</w:t>
      </w:r>
      <w:r w:rsidR="0034653B" w:rsidRPr="00C43F40">
        <w:rPr>
          <w:rFonts w:ascii="Cambria" w:hAnsi="Cambria"/>
          <w:b w:val="0"/>
          <w:bCs w:val="0"/>
          <w:sz w:val="24"/>
          <w:szCs w:val="24"/>
        </w:rPr>
        <w:t>mindestens 35 %</w:t>
      </w:r>
      <w:r w:rsidR="0034653B">
        <w:rPr>
          <w:rFonts w:ascii="Cambria" w:hAnsi="Cambria"/>
          <w:b w:val="0"/>
          <w:bCs w:val="0"/>
          <w:sz w:val="24"/>
          <w:szCs w:val="24"/>
        </w:rPr>
        <w:t>)</w:t>
      </w:r>
      <w:r w:rsidR="0034653B" w:rsidRPr="0034653B">
        <w:rPr>
          <w:rFonts w:ascii="Cambria" w:hAnsi="Cambria"/>
          <w:b w:val="0"/>
          <w:bCs w:val="0"/>
          <w:sz w:val="24"/>
          <w:szCs w:val="24"/>
        </w:rPr>
        <w:t xml:space="preserve"> </w:t>
      </w:r>
      <w:r w:rsidR="0034653B" w:rsidRPr="00C43F40">
        <w:rPr>
          <w:rFonts w:ascii="Cambria" w:hAnsi="Cambria"/>
          <w:b w:val="0"/>
          <w:bCs w:val="0"/>
          <w:sz w:val="24"/>
          <w:szCs w:val="24"/>
        </w:rPr>
        <w:t>zur Förderung des Klimas, der biologischen Vielfalt, der Umwelt und des Tierschutzes bereitgestellt</w:t>
      </w:r>
      <w:r w:rsidR="0034653B">
        <w:rPr>
          <w:rFonts w:ascii="Cambria" w:hAnsi="Cambria"/>
          <w:b w:val="0"/>
          <w:bCs w:val="0"/>
          <w:sz w:val="24"/>
          <w:szCs w:val="24"/>
        </w:rPr>
        <w:t xml:space="preserve">. </w:t>
      </w:r>
      <w:r w:rsidR="009812E8">
        <w:rPr>
          <w:rFonts w:ascii="Cambria" w:hAnsi="Cambria"/>
          <w:b w:val="0"/>
          <w:bCs w:val="0"/>
          <w:sz w:val="24"/>
          <w:szCs w:val="24"/>
        </w:rPr>
        <w:t xml:space="preserve">(4) </w:t>
      </w:r>
      <w:r w:rsidR="0034653B">
        <w:rPr>
          <w:rFonts w:ascii="Cambria" w:hAnsi="Cambria"/>
          <w:b w:val="0"/>
          <w:bCs w:val="0"/>
          <w:sz w:val="24"/>
          <w:szCs w:val="24"/>
        </w:rPr>
        <w:t xml:space="preserve">Insgesamt müssen </w:t>
      </w:r>
      <w:r w:rsidR="0034653B" w:rsidRPr="00C43F40">
        <w:rPr>
          <w:rFonts w:ascii="Cambria" w:hAnsi="Cambria"/>
          <w:b w:val="0"/>
          <w:bCs w:val="0"/>
          <w:sz w:val="24"/>
          <w:szCs w:val="24"/>
        </w:rPr>
        <w:t>40 % des GAP-Haushalts klimarelevant sein und die allgemeine Verpflichtung</w:t>
      </w:r>
      <w:r w:rsidR="009812E8" w:rsidRPr="009812E8">
        <w:rPr>
          <w:rFonts w:ascii="Cambria" w:hAnsi="Cambria"/>
          <w:b w:val="0"/>
          <w:bCs w:val="0"/>
          <w:sz w:val="24"/>
          <w:szCs w:val="24"/>
        </w:rPr>
        <w:t xml:space="preserve"> </w:t>
      </w:r>
      <w:r w:rsidR="009812E8" w:rsidRPr="00C43F40">
        <w:rPr>
          <w:rFonts w:ascii="Cambria" w:hAnsi="Cambria"/>
          <w:b w:val="0"/>
          <w:bCs w:val="0"/>
          <w:sz w:val="24"/>
          <w:szCs w:val="24"/>
        </w:rPr>
        <w:t>unterstützen</w:t>
      </w:r>
      <w:r w:rsidR="0034653B" w:rsidRPr="00C43F40">
        <w:rPr>
          <w:rFonts w:ascii="Cambria" w:hAnsi="Cambria"/>
          <w:b w:val="0"/>
          <w:bCs w:val="0"/>
          <w:sz w:val="24"/>
          <w:szCs w:val="24"/>
        </w:rPr>
        <w:t>, bis zum Ende des mehrjährigen Finanzrahmens (</w:t>
      </w:r>
      <w:r w:rsidR="0034653B">
        <w:rPr>
          <w:rFonts w:ascii="Cambria" w:hAnsi="Cambria"/>
          <w:b w:val="0"/>
          <w:bCs w:val="0"/>
          <w:sz w:val="24"/>
          <w:szCs w:val="24"/>
        </w:rPr>
        <w:t>2027</w:t>
      </w:r>
      <w:r w:rsidR="0034653B" w:rsidRPr="00C43F40">
        <w:rPr>
          <w:rFonts w:ascii="Cambria" w:hAnsi="Cambria"/>
          <w:b w:val="0"/>
          <w:bCs w:val="0"/>
          <w:sz w:val="24"/>
          <w:szCs w:val="24"/>
        </w:rPr>
        <w:t xml:space="preserve">) 10 % des EU-Haushalts für die biologische Vielfalt </w:t>
      </w:r>
      <w:r w:rsidR="009812E8">
        <w:rPr>
          <w:rFonts w:ascii="Cambria" w:hAnsi="Cambria"/>
          <w:b w:val="0"/>
          <w:bCs w:val="0"/>
          <w:sz w:val="24"/>
          <w:szCs w:val="24"/>
        </w:rPr>
        <w:t>vorzusehen</w:t>
      </w:r>
      <w:r w:rsidR="0034653B" w:rsidRPr="00C43F40">
        <w:rPr>
          <w:rFonts w:ascii="Cambria" w:hAnsi="Cambria"/>
          <w:b w:val="0"/>
          <w:bCs w:val="0"/>
          <w:sz w:val="24"/>
          <w:szCs w:val="24"/>
        </w:rPr>
        <w:t>.</w:t>
      </w:r>
    </w:p>
    <w:p w14:paraId="52E7C758" w14:textId="75EB74F1" w:rsidR="00DA4930" w:rsidRDefault="00C43F40" w:rsidP="00DA4930">
      <w:pPr>
        <w:spacing w:before="100" w:beforeAutospacing="1" w:after="100" w:afterAutospacing="1"/>
        <w:jc w:val="both"/>
        <w:rPr>
          <w:rFonts w:ascii="Cambria" w:eastAsia="Times New Roman" w:hAnsi="Cambria" w:cs="Times New Roman"/>
        </w:rPr>
      </w:pPr>
      <w:r w:rsidRPr="00C43F40">
        <w:rPr>
          <w:rFonts w:ascii="Cambria" w:eastAsia="Times New Roman" w:hAnsi="Cambria" w:cs="Times New Roman"/>
        </w:rPr>
        <w:t>E</w:t>
      </w:r>
      <w:r w:rsidR="00DA4930">
        <w:rPr>
          <w:rFonts w:ascii="Cambria" w:eastAsia="Times New Roman" w:hAnsi="Cambria" w:cs="Times New Roman"/>
        </w:rPr>
        <w:t>in weiteres Ziel der Reform soll e</w:t>
      </w:r>
      <w:r w:rsidRPr="00C43F40">
        <w:rPr>
          <w:rFonts w:ascii="Cambria" w:eastAsia="Times New Roman" w:hAnsi="Cambria" w:cs="Times New Roman"/>
        </w:rPr>
        <w:t>ine gerechtere GAP</w:t>
      </w:r>
      <w:r w:rsidR="00DA4930">
        <w:rPr>
          <w:rFonts w:ascii="Cambria" w:eastAsia="Times New Roman" w:hAnsi="Cambria" w:cs="Times New Roman"/>
        </w:rPr>
        <w:t xml:space="preserve"> sein</w:t>
      </w:r>
      <w:r w:rsidR="009812E8">
        <w:rPr>
          <w:rFonts w:ascii="Cambria" w:eastAsia="Times New Roman" w:hAnsi="Cambria" w:cs="Times New Roman"/>
        </w:rPr>
        <w:t>: (1)</w:t>
      </w:r>
      <w:r w:rsidR="00DA4930">
        <w:rPr>
          <w:rFonts w:ascii="Cambria" w:eastAsia="Times New Roman" w:hAnsi="Cambria" w:cs="Times New Roman"/>
        </w:rPr>
        <w:t xml:space="preserve"> Insbesondere </w:t>
      </w:r>
      <w:r w:rsidR="0045561A">
        <w:rPr>
          <w:rFonts w:ascii="Cambria" w:eastAsia="Times New Roman" w:hAnsi="Cambria" w:cs="Times New Roman"/>
        </w:rPr>
        <w:t xml:space="preserve">müssen </w:t>
      </w:r>
      <w:r w:rsidR="00DA4930">
        <w:rPr>
          <w:rFonts w:ascii="Cambria" w:eastAsia="Times New Roman" w:hAnsi="Cambria" w:cs="Times New Roman"/>
        </w:rPr>
        <w:t xml:space="preserve">die Mitgliedsstaaten </w:t>
      </w:r>
      <w:r w:rsidR="00DA4930" w:rsidRPr="00C43F40">
        <w:rPr>
          <w:rFonts w:ascii="Cambria" w:eastAsia="Times New Roman" w:hAnsi="Cambria" w:cs="Times New Roman"/>
        </w:rPr>
        <w:t>mindestens 10 % ihrer Direktzahlungen</w:t>
      </w:r>
      <w:r w:rsidR="00DA4930">
        <w:rPr>
          <w:rFonts w:ascii="Cambria" w:eastAsia="Times New Roman" w:hAnsi="Cambria" w:cs="Times New Roman"/>
        </w:rPr>
        <w:t xml:space="preserve"> auf </w:t>
      </w:r>
      <w:r w:rsidR="00DA4930" w:rsidRPr="00C43F40">
        <w:rPr>
          <w:rFonts w:ascii="Cambria" w:eastAsia="Times New Roman" w:hAnsi="Cambria" w:cs="Times New Roman"/>
        </w:rPr>
        <w:t>kleinere und mittlere landwirtschaftliche</w:t>
      </w:r>
      <w:r w:rsidR="002A676A">
        <w:rPr>
          <w:rFonts w:ascii="Cambria" w:eastAsia="Times New Roman" w:hAnsi="Cambria" w:cs="Times New Roman"/>
        </w:rPr>
        <w:t xml:space="preserve"> </w:t>
      </w:r>
      <w:r w:rsidR="00DA4930" w:rsidRPr="00C43F40">
        <w:rPr>
          <w:rFonts w:ascii="Cambria" w:eastAsia="Times New Roman" w:hAnsi="Cambria" w:cs="Times New Roman"/>
        </w:rPr>
        <w:t>Betriebe</w:t>
      </w:r>
      <w:r w:rsidR="00DA4930">
        <w:rPr>
          <w:rFonts w:ascii="Cambria" w:eastAsia="Times New Roman" w:hAnsi="Cambria" w:cs="Times New Roman"/>
        </w:rPr>
        <w:t xml:space="preserve"> umverteilen. </w:t>
      </w:r>
      <w:r w:rsidR="00904D4F">
        <w:rPr>
          <w:rFonts w:ascii="Cambria" w:eastAsia="Times New Roman" w:hAnsi="Cambria" w:cs="Times New Roman"/>
        </w:rPr>
        <w:t xml:space="preserve">(2) </w:t>
      </w:r>
      <w:r w:rsidR="00DA4930">
        <w:rPr>
          <w:rFonts w:ascii="Cambria" w:eastAsia="Times New Roman" w:hAnsi="Cambria" w:cs="Times New Roman"/>
        </w:rPr>
        <w:t>Auch soll sichergestellt werden, dass EU- Beihilfen nur aktiven Landwirten zugutekommen.</w:t>
      </w:r>
      <w:r w:rsidR="00DA4930" w:rsidRPr="00DA4930">
        <w:rPr>
          <w:rFonts w:ascii="Cambria" w:eastAsia="Times New Roman" w:hAnsi="Cambria" w:cs="Times New Roman"/>
        </w:rPr>
        <w:t xml:space="preserve"> </w:t>
      </w:r>
      <w:r w:rsidR="00904D4F">
        <w:rPr>
          <w:rFonts w:ascii="Cambria" w:eastAsia="Times New Roman" w:hAnsi="Cambria" w:cs="Times New Roman"/>
        </w:rPr>
        <w:t>(3)</w:t>
      </w:r>
      <w:r w:rsidR="007F1901">
        <w:rPr>
          <w:rFonts w:ascii="Cambria" w:eastAsia="Times New Roman" w:hAnsi="Cambria" w:cs="Times New Roman"/>
        </w:rPr>
        <w:t xml:space="preserve"> </w:t>
      </w:r>
      <w:r w:rsidR="00DA4930" w:rsidRPr="00C43F40">
        <w:rPr>
          <w:rFonts w:ascii="Cambria" w:eastAsia="Times New Roman" w:hAnsi="Cambria" w:cs="Times New Roman"/>
        </w:rPr>
        <w:t>Anreize zur Verbesserung der Arbeitsbedingungen in landwirtschaftlichen Betrieben</w:t>
      </w:r>
      <w:r w:rsidR="00DA4930">
        <w:rPr>
          <w:rFonts w:ascii="Cambria" w:eastAsia="Times New Roman" w:hAnsi="Cambria" w:cs="Times New Roman"/>
        </w:rPr>
        <w:t xml:space="preserve"> sind zu schaffen, Junglandwirte verstärkt zu fördern. </w:t>
      </w:r>
      <w:r w:rsidR="00904D4F">
        <w:rPr>
          <w:rFonts w:ascii="Cambria" w:eastAsia="Times New Roman" w:hAnsi="Cambria" w:cs="Times New Roman"/>
        </w:rPr>
        <w:t xml:space="preserve">(4) </w:t>
      </w:r>
      <w:r w:rsidR="00DA4930">
        <w:rPr>
          <w:rFonts w:ascii="Cambria" w:eastAsia="Times New Roman" w:hAnsi="Cambria" w:cs="Times New Roman"/>
        </w:rPr>
        <w:t xml:space="preserve">Die </w:t>
      </w:r>
      <w:r w:rsidR="00DA4930" w:rsidRPr="00C43F40">
        <w:rPr>
          <w:rFonts w:ascii="Cambria" w:eastAsia="Times New Roman" w:hAnsi="Cambria" w:cs="Times New Roman"/>
        </w:rPr>
        <w:t xml:space="preserve">Gleichstellung der Geschlechter und die zunehmende </w:t>
      </w:r>
      <w:r w:rsidR="00DA4930" w:rsidRPr="00C43F40">
        <w:rPr>
          <w:rFonts w:ascii="Cambria" w:eastAsia="Times New Roman" w:hAnsi="Cambria" w:cs="Times New Roman"/>
        </w:rPr>
        <w:lastRenderedPageBreak/>
        <w:t>Beteiligung von Frauen an der Landwirtschaft sind zum ersten Mal Ziele der GAP-Strategiepläne</w:t>
      </w:r>
      <w:r w:rsidR="00DA4930">
        <w:rPr>
          <w:rFonts w:ascii="Cambria" w:eastAsia="Times New Roman" w:hAnsi="Cambria" w:cs="Times New Roman"/>
        </w:rPr>
        <w:t>.</w:t>
      </w:r>
      <w:r w:rsidR="00DA4930" w:rsidRPr="00DA4930">
        <w:rPr>
          <w:rFonts w:ascii="Cambria" w:eastAsia="Times New Roman" w:hAnsi="Cambria" w:cs="Times New Roman"/>
        </w:rPr>
        <w:t xml:space="preserve"> </w:t>
      </w:r>
    </w:p>
    <w:p w14:paraId="54402A8A" w14:textId="11AD61E9" w:rsidR="00DA4930" w:rsidRDefault="00DA4930" w:rsidP="00DA4930">
      <w:pPr>
        <w:spacing w:before="100" w:beforeAutospacing="1" w:after="100" w:afterAutospacing="1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Schließlich soll d</w:t>
      </w:r>
      <w:r w:rsidRPr="00C43F40">
        <w:rPr>
          <w:rFonts w:ascii="Cambria" w:eastAsia="Times New Roman" w:hAnsi="Cambria" w:cs="Times New Roman"/>
        </w:rPr>
        <w:t xml:space="preserve">ie </w:t>
      </w:r>
      <w:r>
        <w:rPr>
          <w:rFonts w:ascii="Cambria" w:eastAsia="Times New Roman" w:hAnsi="Cambria" w:cs="Times New Roman"/>
        </w:rPr>
        <w:t>reformierte</w:t>
      </w:r>
      <w:r w:rsidRPr="00C43F40">
        <w:rPr>
          <w:rFonts w:ascii="Cambria" w:eastAsia="Times New Roman" w:hAnsi="Cambria" w:cs="Times New Roman"/>
        </w:rPr>
        <w:t xml:space="preserve"> GAP die Position der Landwirte in der Lieferkette stärken und die Wettbewerbsfähigkeit des Agrar- und Lebensmittelsektors stärken</w:t>
      </w:r>
      <w:r>
        <w:rPr>
          <w:rFonts w:ascii="Cambria" w:eastAsia="Times New Roman" w:hAnsi="Cambria" w:cs="Times New Roman"/>
        </w:rPr>
        <w:t>. Es gilt</w:t>
      </w:r>
      <w:r w:rsidR="002A676A">
        <w:rPr>
          <w:rFonts w:ascii="Cambria" w:eastAsia="Times New Roman" w:hAnsi="Cambria" w:cs="Times New Roman"/>
        </w:rPr>
        <w:t xml:space="preserve"> insbesondere</w:t>
      </w:r>
      <w:r>
        <w:rPr>
          <w:rFonts w:ascii="Cambria" w:eastAsia="Times New Roman" w:hAnsi="Cambria" w:cs="Times New Roman"/>
        </w:rPr>
        <w:t>, die Verh</w:t>
      </w:r>
      <w:r w:rsidR="002A676A">
        <w:rPr>
          <w:rFonts w:ascii="Cambria" w:eastAsia="Times New Roman" w:hAnsi="Cambria" w:cs="Times New Roman"/>
        </w:rPr>
        <w:t>a</w:t>
      </w:r>
      <w:r>
        <w:rPr>
          <w:rFonts w:ascii="Cambria" w:eastAsia="Times New Roman" w:hAnsi="Cambria" w:cs="Times New Roman"/>
        </w:rPr>
        <w:t xml:space="preserve">ndlungsmacht </w:t>
      </w:r>
      <w:r w:rsidR="002A676A">
        <w:rPr>
          <w:rFonts w:ascii="Cambria" w:eastAsia="Times New Roman" w:hAnsi="Cambria" w:cs="Times New Roman"/>
        </w:rPr>
        <w:t xml:space="preserve">der Landwirte auf dem Markt zu stärken, die landwirtschaftlichen Betriebe zu einer marktorientierten Produktion zu ermutigen. </w:t>
      </w:r>
    </w:p>
    <w:p w14:paraId="4391E3D0" w14:textId="789DF29C" w:rsidR="002A676A" w:rsidRPr="00C43F40" w:rsidRDefault="002A676A" w:rsidP="002A676A">
      <w:pPr>
        <w:spacing w:before="100" w:beforeAutospacing="1" w:after="100" w:afterAutospacing="1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Viele Ziele, viele Ideen, viel Spielraum für die Mitgliedstaaten</w:t>
      </w:r>
      <w:r w:rsidR="006A16E5">
        <w:rPr>
          <w:rFonts w:ascii="Cambria" w:eastAsia="Times New Roman" w:hAnsi="Cambria" w:cs="Times New Roman"/>
        </w:rPr>
        <w:t>…</w:t>
      </w:r>
      <w:r>
        <w:rPr>
          <w:rFonts w:ascii="Cambria" w:eastAsia="Times New Roman" w:hAnsi="Cambria" w:cs="Times New Roman"/>
        </w:rPr>
        <w:t xml:space="preserve"> Die Reform ist sicherlich ein Schritt in die richtige Richtung. Ob er mutig genug </w:t>
      </w:r>
      <w:r w:rsidR="0098420F">
        <w:rPr>
          <w:rFonts w:ascii="Cambria" w:eastAsia="Times New Roman" w:hAnsi="Cambria" w:cs="Times New Roman"/>
        </w:rPr>
        <w:t>war</w:t>
      </w:r>
      <w:r>
        <w:rPr>
          <w:rFonts w:ascii="Cambria" w:eastAsia="Times New Roman" w:hAnsi="Cambria" w:cs="Times New Roman"/>
        </w:rPr>
        <w:t xml:space="preserve">, bleibt abzuwarten.  </w:t>
      </w:r>
    </w:p>
    <w:p w14:paraId="66ADCDF2" w14:textId="77777777" w:rsidR="003B7ABD" w:rsidRPr="002A676A" w:rsidRDefault="003B7ABD" w:rsidP="002A676A">
      <w:pPr>
        <w:rPr>
          <w:rFonts w:ascii="Cambria" w:hAnsi="Cambria"/>
          <w:b/>
          <w:bCs/>
        </w:rPr>
      </w:pPr>
    </w:p>
    <w:p w14:paraId="43EFA6E1" w14:textId="373CC5D2" w:rsidR="00E76BF9" w:rsidRPr="00E76BF9" w:rsidRDefault="003B7ABD" w:rsidP="007618F8">
      <w:pPr>
        <w:pStyle w:val="Listenabsatz"/>
        <w:numPr>
          <w:ilvl w:val="0"/>
          <w:numId w:val="2"/>
        </w:num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Rechtsstaatlichkeit –</w:t>
      </w:r>
      <w:r w:rsidR="00156186">
        <w:rPr>
          <w:rFonts w:ascii="Cambria" w:hAnsi="Cambria"/>
          <w:b/>
          <w:bCs/>
        </w:rPr>
        <w:t xml:space="preserve"> können erhebliche Defizite in einigen Mitgliedstaaten beseitigt werden?</w:t>
      </w:r>
    </w:p>
    <w:p w14:paraId="01E0D2BD" w14:textId="77777777" w:rsidR="00E76BF9" w:rsidRPr="00E76BF9" w:rsidRDefault="00E76BF9" w:rsidP="00E76BF9">
      <w:pPr>
        <w:pStyle w:val="Listenabsatz"/>
        <w:rPr>
          <w:rFonts w:ascii="Cambria" w:hAnsi="Cambria"/>
          <w:b/>
          <w:bCs/>
        </w:rPr>
      </w:pPr>
    </w:p>
    <w:p w14:paraId="12FAD831" w14:textId="77777777" w:rsidR="00E76BF9" w:rsidRPr="00E76BF9" w:rsidRDefault="00E76BF9" w:rsidP="00E76BF9">
      <w:pPr>
        <w:pStyle w:val="Default"/>
        <w:rPr>
          <w:rFonts w:ascii="Cambria" w:hAnsi="Cambria"/>
        </w:rPr>
      </w:pPr>
    </w:p>
    <w:p w14:paraId="45225421" w14:textId="124B66C6" w:rsidR="00055861" w:rsidRPr="00055861" w:rsidRDefault="00E76BF9" w:rsidP="00055861">
      <w:pPr>
        <w:jc w:val="both"/>
        <w:rPr>
          <w:rFonts w:ascii="Cambria" w:hAnsi="Cambria"/>
          <w:color w:val="29293A"/>
          <w:shd w:val="clear" w:color="auto" w:fill="FFFFFF"/>
        </w:rPr>
      </w:pPr>
      <w:r w:rsidRPr="00055861">
        <w:rPr>
          <w:rFonts w:ascii="Cambria" w:hAnsi="Cambria"/>
        </w:rPr>
        <w:t xml:space="preserve">Rechtsstaatlichkeit ist neben Demokratie und Grundrechten eines der Grundprinzipien der EU. Ihre Wahrung ist eine gemeinsame Verantwortung aller EU-Organe und Mitgliedstaaten. </w:t>
      </w:r>
      <w:r w:rsidR="00156186" w:rsidRPr="00055861">
        <w:rPr>
          <w:rFonts w:ascii="Cambria" w:hAnsi="Cambria"/>
        </w:rPr>
        <w:t>Am 20.7.2021 hat die Kommission zum zweiten Mal einen Jahresb</w:t>
      </w:r>
      <w:r w:rsidRPr="00055861">
        <w:rPr>
          <w:rFonts w:ascii="Cambria" w:hAnsi="Cambria"/>
        </w:rPr>
        <w:t>ericht über die Rechtsstaatlichkeit</w:t>
      </w:r>
      <w:r w:rsidR="004C0E50">
        <w:rPr>
          <w:rFonts w:ascii="Cambria" w:hAnsi="Cambria"/>
        </w:rPr>
        <w:t xml:space="preserve"> vorgelegt</w:t>
      </w:r>
      <w:r w:rsidR="00156186" w:rsidRPr="00055861">
        <w:rPr>
          <w:rFonts w:ascii="Cambria" w:hAnsi="Cambria"/>
        </w:rPr>
        <w:t xml:space="preserve">. </w:t>
      </w:r>
      <w:r w:rsidRPr="00055861">
        <w:rPr>
          <w:rFonts w:ascii="Cambria" w:hAnsi="Cambria"/>
        </w:rPr>
        <w:t xml:space="preserve"> </w:t>
      </w:r>
      <w:r w:rsidR="00904D4F" w:rsidRPr="00055861">
        <w:rPr>
          <w:rFonts w:ascii="Cambria" w:hAnsi="Cambria"/>
        </w:rPr>
        <w:t xml:space="preserve">Dieser jährliche „Rechtsstaats-TÜV“ soll </w:t>
      </w:r>
      <w:proofErr w:type="gramStart"/>
      <w:r w:rsidR="00904D4F" w:rsidRPr="00055861">
        <w:rPr>
          <w:rFonts w:ascii="Cambria" w:hAnsi="Cambria"/>
        </w:rPr>
        <w:t>als  Frühwarnsystem</w:t>
      </w:r>
      <w:proofErr w:type="gramEnd"/>
      <w:r w:rsidR="00904D4F" w:rsidRPr="00055861">
        <w:rPr>
          <w:rFonts w:ascii="Cambria" w:hAnsi="Cambria"/>
        </w:rPr>
        <w:t xml:space="preserve"> dienen, mit dem Rechtsstaatdefizite erkannt und auch europaweit öffentlich gemacht werden.</w:t>
      </w:r>
      <w:r w:rsidR="00904D4F" w:rsidRPr="00055861">
        <w:rPr>
          <w:rFonts w:ascii="Cambria" w:hAnsi="Cambria"/>
          <w:color w:val="29293A"/>
          <w:shd w:val="clear" w:color="auto" w:fill="FFFFFF"/>
        </w:rPr>
        <w:t xml:space="preserve"> </w:t>
      </w:r>
      <w:r w:rsidR="00156186" w:rsidRPr="00055861">
        <w:rPr>
          <w:rFonts w:ascii="Cambria" w:hAnsi="Cambria"/>
        </w:rPr>
        <w:t xml:space="preserve">Der Bericht umfasst die gleichen Themen wie </w:t>
      </w:r>
      <w:r w:rsidR="00904D4F">
        <w:rPr>
          <w:rFonts w:ascii="Cambria" w:hAnsi="Cambria"/>
        </w:rPr>
        <w:t>der erste Bericht</w:t>
      </w:r>
      <w:r w:rsidR="00156186" w:rsidRPr="00055861">
        <w:rPr>
          <w:rFonts w:ascii="Cambria" w:hAnsi="Cambria"/>
        </w:rPr>
        <w:t xml:space="preserve"> </w:t>
      </w:r>
      <w:r w:rsidR="00AB7B6D">
        <w:rPr>
          <w:rFonts w:ascii="Cambria" w:hAnsi="Cambria"/>
        </w:rPr>
        <w:t xml:space="preserve">von 2020 </w:t>
      </w:r>
      <w:r w:rsidR="00156186" w:rsidRPr="00055861">
        <w:rPr>
          <w:rFonts w:ascii="Cambria" w:hAnsi="Cambria"/>
        </w:rPr>
        <w:t xml:space="preserve">– Justizsysteme, Korruptionsbekämpfung, Medienpluralismus und Medienfreiheit sowie weitere Aspekte der institutionellen Kontrolle und Gegenkontrolle. Bestandteil des Berichts sind Länderkapitel, die ausführlich die Lage in </w:t>
      </w:r>
      <w:r w:rsidR="00AB7B6D">
        <w:rPr>
          <w:rFonts w:ascii="Cambria" w:hAnsi="Cambria"/>
        </w:rPr>
        <w:t>jedem</w:t>
      </w:r>
      <w:r w:rsidR="00156186" w:rsidRPr="00055861">
        <w:rPr>
          <w:rFonts w:ascii="Cambria" w:hAnsi="Cambria"/>
        </w:rPr>
        <w:t xml:space="preserve"> einzelnen Mitgliedstaat wiedergeben. </w:t>
      </w:r>
    </w:p>
    <w:p w14:paraId="5FC8F4AE" w14:textId="77777777" w:rsidR="00055861" w:rsidRPr="00055861" w:rsidRDefault="00055861" w:rsidP="00055861">
      <w:pPr>
        <w:jc w:val="both"/>
        <w:rPr>
          <w:rFonts w:ascii="Cambria" w:hAnsi="Cambria"/>
          <w:color w:val="29293A"/>
          <w:shd w:val="clear" w:color="auto" w:fill="FFFFFF"/>
        </w:rPr>
      </w:pPr>
    </w:p>
    <w:p w14:paraId="07DE33B4" w14:textId="29F04AD8" w:rsidR="00B81EA4" w:rsidRDefault="00055861" w:rsidP="00055861">
      <w:pPr>
        <w:jc w:val="both"/>
        <w:rPr>
          <w:rFonts w:ascii="Cambria" w:eastAsia="Times New Roman" w:hAnsi="Cambria" w:cs="Times New Roman"/>
          <w:color w:val="29293A"/>
          <w:shd w:val="clear" w:color="auto" w:fill="FFFFFF"/>
        </w:rPr>
      </w:pPr>
      <w:r w:rsidRPr="00055861">
        <w:rPr>
          <w:rFonts w:ascii="Cambria" w:eastAsia="Times New Roman" w:hAnsi="Cambria" w:cs="Times New Roman"/>
          <w:color w:val="29293A"/>
          <w:shd w:val="clear" w:color="auto" w:fill="FFFFFF"/>
        </w:rPr>
        <w:t>Die Kommission verzeichnet in vielen Mitgliedstaaten posit</w:t>
      </w:r>
      <w:r w:rsidR="001E0B16">
        <w:rPr>
          <w:rFonts w:ascii="Cambria" w:eastAsia="Times New Roman" w:hAnsi="Cambria" w:cs="Times New Roman"/>
          <w:color w:val="29293A"/>
          <w:shd w:val="clear" w:color="auto" w:fill="FFFFFF"/>
        </w:rPr>
        <w:t>iv</w:t>
      </w:r>
      <w:r w:rsidRPr="00055861">
        <w:rPr>
          <w:rFonts w:ascii="Cambria" w:eastAsia="Times New Roman" w:hAnsi="Cambria" w:cs="Times New Roman"/>
          <w:color w:val="29293A"/>
          <w:shd w:val="clear" w:color="auto" w:fill="FFFFFF"/>
        </w:rPr>
        <w:t>e Entwicklungen, geht aber insbesondere mit Polen und Ungarn hart ins Gericht. Ungarn tue zu wenig gegen Betrug und Vetternwirtschaft und behindere unabhängige Journalisten. Die Medienvielfalt bleibe in Gefahr.</w:t>
      </w:r>
      <w:r>
        <w:rPr>
          <w:rFonts w:ascii="Cambria" w:eastAsia="Times New Roman" w:hAnsi="Cambria" w:cs="Times New Roman"/>
          <w:color w:val="29293A"/>
          <w:shd w:val="clear" w:color="auto" w:fill="FFFFFF"/>
        </w:rPr>
        <w:t xml:space="preserve"> </w:t>
      </w:r>
      <w:r w:rsidR="00AB7B6D">
        <w:rPr>
          <w:rFonts w:ascii="Cambria" w:eastAsia="Times New Roman" w:hAnsi="Cambria" w:cs="Times New Roman"/>
          <w:color w:val="29293A"/>
          <w:shd w:val="clear" w:color="auto" w:fill="FFFFFF"/>
        </w:rPr>
        <w:t>In Polen sei d</w:t>
      </w:r>
      <w:r w:rsidR="00AB7B6D" w:rsidRPr="00055861">
        <w:rPr>
          <w:rFonts w:ascii="Cambria" w:eastAsia="Times New Roman" w:hAnsi="Cambria" w:cs="Times New Roman"/>
          <w:color w:val="29293A"/>
          <w:shd w:val="clear" w:color="auto" w:fill="FFFFFF"/>
        </w:rPr>
        <w:t xml:space="preserve">ie Unabhängigkeit der Justiz strukturell gefährdet, was Grund zu "ernster Sorge" sei. </w:t>
      </w:r>
      <w:r w:rsidR="00B81EA4">
        <w:rPr>
          <w:rFonts w:ascii="Cambria" w:eastAsia="Times New Roman" w:hAnsi="Cambria" w:cs="Times New Roman"/>
          <w:color w:val="29293A"/>
          <w:shd w:val="clear" w:color="auto" w:fill="FFFFFF"/>
        </w:rPr>
        <w:t xml:space="preserve">Mehrere </w:t>
      </w:r>
      <w:r w:rsidR="00904D4F">
        <w:rPr>
          <w:rFonts w:ascii="Cambria" w:eastAsia="Times New Roman" w:hAnsi="Cambria" w:cs="Times New Roman"/>
          <w:color w:val="29293A"/>
          <w:shd w:val="clear" w:color="auto" w:fill="FFFFFF"/>
        </w:rPr>
        <w:t>auf</w:t>
      </w:r>
      <w:r w:rsidR="00B81EA4">
        <w:rPr>
          <w:rFonts w:ascii="Cambria" w:eastAsia="Times New Roman" w:hAnsi="Cambria" w:cs="Times New Roman"/>
          <w:color w:val="29293A"/>
          <w:shd w:val="clear" w:color="auto" w:fill="FFFFFF"/>
        </w:rPr>
        <w:t xml:space="preserve"> Klagen der Kommission ergangene</w:t>
      </w:r>
      <w:r>
        <w:rPr>
          <w:rFonts w:ascii="Cambria" w:eastAsia="Times New Roman" w:hAnsi="Cambria" w:cs="Times New Roman"/>
          <w:color w:val="29293A"/>
          <w:shd w:val="clear" w:color="auto" w:fill="FFFFFF"/>
        </w:rPr>
        <w:t xml:space="preserve"> Urteile des Europäischen Gerichtshof </w:t>
      </w:r>
      <w:r w:rsidR="00B81EA4">
        <w:rPr>
          <w:rFonts w:ascii="Cambria" w:eastAsia="Times New Roman" w:hAnsi="Cambria" w:cs="Times New Roman"/>
          <w:color w:val="29293A"/>
          <w:shd w:val="clear" w:color="auto" w:fill="FFFFFF"/>
        </w:rPr>
        <w:t xml:space="preserve">(EuGH) </w:t>
      </w:r>
      <w:r w:rsidR="00904D4F">
        <w:rPr>
          <w:rFonts w:ascii="Cambria" w:eastAsia="Times New Roman" w:hAnsi="Cambria" w:cs="Times New Roman"/>
          <w:color w:val="29293A"/>
          <w:shd w:val="clear" w:color="auto" w:fill="FFFFFF"/>
        </w:rPr>
        <w:t>bestätigen schwerwiegende Verstöße gegen das Rechtsstaatsprinzip im polnischen Justizsystem</w:t>
      </w:r>
      <w:r w:rsidR="00B81EA4">
        <w:rPr>
          <w:rFonts w:ascii="Cambria" w:eastAsia="Times New Roman" w:hAnsi="Cambria" w:cs="Times New Roman"/>
          <w:color w:val="29293A"/>
          <w:shd w:val="clear" w:color="auto" w:fill="FFFFFF"/>
        </w:rPr>
        <w:t xml:space="preserve">.  So hat der EuGH </w:t>
      </w:r>
      <w:r w:rsidR="0045561A">
        <w:rPr>
          <w:rFonts w:ascii="Cambria" w:eastAsia="Times New Roman" w:hAnsi="Cambria" w:cs="Times New Roman"/>
          <w:color w:val="29293A"/>
          <w:shd w:val="clear" w:color="auto" w:fill="FFFFFF"/>
        </w:rPr>
        <w:t xml:space="preserve">etwa </w:t>
      </w:r>
      <w:r w:rsidR="00B81EA4">
        <w:rPr>
          <w:rFonts w:ascii="Cambria" w:eastAsia="Times New Roman" w:hAnsi="Cambria" w:cs="Times New Roman"/>
          <w:color w:val="29293A"/>
          <w:shd w:val="clear" w:color="auto" w:fill="FFFFFF"/>
        </w:rPr>
        <w:t>in seinem Urteil vom 15.7.2021 die polnischen Disziplinarregeln für Richter sch</w:t>
      </w:r>
      <w:r w:rsidR="0045561A">
        <w:rPr>
          <w:rFonts w:ascii="Cambria" w:eastAsia="Times New Roman" w:hAnsi="Cambria" w:cs="Times New Roman"/>
          <w:color w:val="29293A"/>
          <w:shd w:val="clear" w:color="auto" w:fill="FFFFFF"/>
        </w:rPr>
        <w:t>arf</w:t>
      </w:r>
      <w:r w:rsidR="00B81EA4">
        <w:rPr>
          <w:rFonts w:ascii="Cambria" w:eastAsia="Times New Roman" w:hAnsi="Cambria" w:cs="Times New Roman"/>
          <w:color w:val="29293A"/>
          <w:shd w:val="clear" w:color="auto" w:fill="FFFFFF"/>
        </w:rPr>
        <w:t xml:space="preserve"> kritisiert.  Die Kommission hat bereits angekündigt, beim EuGH Zwangsgelder zu beantragen, sollte Polen diesem Urteil </w:t>
      </w:r>
      <w:proofErr w:type="gramStart"/>
      <w:r w:rsidR="00B81EA4">
        <w:rPr>
          <w:rFonts w:ascii="Cambria" w:eastAsia="Times New Roman" w:hAnsi="Cambria" w:cs="Times New Roman"/>
          <w:color w:val="29293A"/>
          <w:shd w:val="clear" w:color="auto" w:fill="FFFFFF"/>
        </w:rPr>
        <w:t xml:space="preserve">nicht </w:t>
      </w:r>
      <w:r w:rsidR="005076A9">
        <w:rPr>
          <w:rFonts w:ascii="Cambria" w:eastAsia="Times New Roman" w:hAnsi="Cambria" w:cs="Times New Roman"/>
          <w:color w:val="29293A"/>
          <w:shd w:val="clear" w:color="auto" w:fill="FFFFFF"/>
        </w:rPr>
        <w:t xml:space="preserve"> Mitte</w:t>
      </w:r>
      <w:proofErr w:type="gramEnd"/>
      <w:r w:rsidR="005076A9">
        <w:rPr>
          <w:rFonts w:ascii="Cambria" w:eastAsia="Times New Roman" w:hAnsi="Cambria" w:cs="Times New Roman"/>
          <w:color w:val="29293A"/>
          <w:shd w:val="clear" w:color="auto" w:fill="FFFFFF"/>
        </w:rPr>
        <w:t xml:space="preserve"> August </w:t>
      </w:r>
      <w:r w:rsidR="00B81EA4">
        <w:rPr>
          <w:rFonts w:ascii="Cambria" w:eastAsia="Times New Roman" w:hAnsi="Cambria" w:cs="Times New Roman"/>
          <w:color w:val="29293A"/>
          <w:shd w:val="clear" w:color="auto" w:fill="FFFFFF"/>
        </w:rPr>
        <w:t xml:space="preserve">nachkommen. </w:t>
      </w:r>
      <w:r w:rsidR="005076A9">
        <w:rPr>
          <w:rFonts w:ascii="Cambria" w:eastAsia="Times New Roman" w:hAnsi="Cambria" w:cs="Times New Roman"/>
          <w:color w:val="29293A"/>
          <w:shd w:val="clear" w:color="auto" w:fill="FFFFFF"/>
        </w:rPr>
        <w:t xml:space="preserve">Angesichts dieser Ankündigung kommen erste Signale kommen aus Warschau, dass die polnische Regierung  die Disziplinarregeln einstweilen nicht anwendet. </w:t>
      </w:r>
    </w:p>
    <w:p w14:paraId="24562523" w14:textId="77777777" w:rsidR="00B81EA4" w:rsidRDefault="00B81EA4" w:rsidP="00055861">
      <w:pPr>
        <w:jc w:val="both"/>
        <w:rPr>
          <w:rFonts w:ascii="Cambria" w:eastAsia="Times New Roman" w:hAnsi="Cambria" w:cs="Times New Roman"/>
          <w:color w:val="29293A"/>
          <w:shd w:val="clear" w:color="auto" w:fill="FFFFFF"/>
        </w:rPr>
      </w:pPr>
    </w:p>
    <w:p w14:paraId="0C4342C2" w14:textId="2E674A1D" w:rsidR="00310C24" w:rsidRDefault="00055861" w:rsidP="007F1901">
      <w:pPr>
        <w:jc w:val="both"/>
        <w:rPr>
          <w:rFonts w:ascii="Cambria" w:eastAsia="Times New Roman" w:hAnsi="Cambria" w:cs="Times New Roman"/>
          <w:color w:val="29293A"/>
          <w:shd w:val="clear" w:color="auto" w:fill="FFFFFF"/>
        </w:rPr>
      </w:pPr>
      <w:r>
        <w:rPr>
          <w:rFonts w:ascii="Cambria" w:eastAsia="Times New Roman" w:hAnsi="Cambria" w:cs="Times New Roman"/>
          <w:color w:val="29293A"/>
          <w:shd w:val="clear" w:color="auto" w:fill="FFFFFF"/>
        </w:rPr>
        <w:t xml:space="preserve">Während die EU es als ihre Pflicht ansieht, gegen massive, systemische Rechtsstaatsverstöße </w:t>
      </w:r>
      <w:r w:rsidR="0045561A">
        <w:rPr>
          <w:rFonts w:ascii="Cambria" w:eastAsia="Times New Roman" w:hAnsi="Cambria" w:cs="Times New Roman"/>
          <w:color w:val="29293A"/>
          <w:shd w:val="clear" w:color="auto" w:fill="FFFFFF"/>
        </w:rPr>
        <w:t xml:space="preserve">in den Mitgliedsstaaten </w:t>
      </w:r>
      <w:r>
        <w:rPr>
          <w:rFonts w:ascii="Cambria" w:eastAsia="Times New Roman" w:hAnsi="Cambria" w:cs="Times New Roman"/>
          <w:color w:val="29293A"/>
          <w:shd w:val="clear" w:color="auto" w:fill="FFFFFF"/>
        </w:rPr>
        <w:t>vorzugehen, wehren sich die</w:t>
      </w:r>
      <w:r w:rsidR="001E0B16">
        <w:rPr>
          <w:rFonts w:ascii="Cambria" w:eastAsia="Times New Roman" w:hAnsi="Cambria" w:cs="Times New Roman"/>
          <w:color w:val="29293A"/>
          <w:shd w:val="clear" w:color="auto" w:fill="FFFFFF"/>
        </w:rPr>
        <w:t xml:space="preserve"> </w:t>
      </w:r>
      <w:r>
        <w:rPr>
          <w:rFonts w:ascii="Cambria" w:eastAsia="Times New Roman" w:hAnsi="Cambria" w:cs="Times New Roman"/>
          <w:color w:val="29293A"/>
          <w:shd w:val="clear" w:color="auto" w:fill="FFFFFF"/>
        </w:rPr>
        <w:t>betroffenen Länder vehement gegen einen vermeintlichen Angriff auf ihre Souveränität.</w:t>
      </w:r>
      <w:r w:rsidR="007F1901">
        <w:rPr>
          <w:rFonts w:ascii="Cambria" w:eastAsia="Times New Roman" w:hAnsi="Cambria" w:cs="Times New Roman"/>
          <w:color w:val="29293A"/>
          <w:shd w:val="clear" w:color="auto" w:fill="FFFFFF"/>
        </w:rPr>
        <w:t xml:space="preserve"> </w:t>
      </w:r>
      <w:r w:rsidR="001E0B16">
        <w:rPr>
          <w:rFonts w:ascii="Cambria" w:eastAsia="Times New Roman" w:hAnsi="Cambria" w:cs="Times New Roman"/>
          <w:color w:val="29293A"/>
          <w:shd w:val="clear" w:color="auto" w:fill="FFFFFF"/>
        </w:rPr>
        <w:t xml:space="preserve">Angesichts </w:t>
      </w:r>
      <w:r w:rsidR="007F1901">
        <w:rPr>
          <w:rFonts w:ascii="Cambria" w:eastAsia="Times New Roman" w:hAnsi="Cambria" w:cs="Times New Roman"/>
          <w:color w:val="29293A"/>
          <w:shd w:val="clear" w:color="auto" w:fill="FFFFFF"/>
        </w:rPr>
        <w:t>ein</w:t>
      </w:r>
      <w:r w:rsidR="001E0B16">
        <w:rPr>
          <w:rFonts w:ascii="Cambria" w:eastAsia="Times New Roman" w:hAnsi="Cambria" w:cs="Times New Roman"/>
          <w:color w:val="29293A"/>
          <w:shd w:val="clear" w:color="auto" w:fill="FFFFFF"/>
        </w:rPr>
        <w:t>er</w:t>
      </w:r>
      <w:r w:rsidR="007F1901">
        <w:rPr>
          <w:rFonts w:ascii="Cambria" w:eastAsia="Times New Roman" w:hAnsi="Cambria" w:cs="Times New Roman"/>
          <w:color w:val="29293A"/>
          <w:shd w:val="clear" w:color="auto" w:fill="FFFFFF"/>
        </w:rPr>
        <w:t xml:space="preserve"> deshalb recht </w:t>
      </w:r>
      <w:r w:rsidR="001E0B16">
        <w:rPr>
          <w:rFonts w:ascii="Cambria" w:eastAsia="Times New Roman" w:hAnsi="Cambria" w:cs="Times New Roman"/>
          <w:color w:val="29293A"/>
          <w:shd w:val="clear" w:color="auto" w:fill="FFFFFF"/>
        </w:rPr>
        <w:t xml:space="preserve">verfahrenen Situation wäre nun </w:t>
      </w:r>
      <w:r w:rsidR="00B81EA4">
        <w:rPr>
          <w:rFonts w:ascii="Cambria" w:eastAsia="Times New Roman" w:hAnsi="Cambria" w:cs="Times New Roman"/>
          <w:color w:val="29293A"/>
          <w:shd w:val="clear" w:color="auto" w:fill="FFFFFF"/>
        </w:rPr>
        <w:t xml:space="preserve">auch </w:t>
      </w:r>
      <w:r w:rsidR="001E0B16">
        <w:rPr>
          <w:rFonts w:ascii="Cambria" w:eastAsia="Times New Roman" w:hAnsi="Cambria" w:cs="Times New Roman"/>
          <w:color w:val="29293A"/>
          <w:shd w:val="clear" w:color="auto" w:fill="FFFFFF"/>
        </w:rPr>
        <w:t xml:space="preserve">der Moment gekommen, die mit dem neuen Mehrjährigen Finanzrahmen beschlossene Rechtsstaatskonditionalität (s. meinen Bericht v. 21.12.2020) anzuwenden, also </w:t>
      </w:r>
      <w:r w:rsidR="0045561A">
        <w:rPr>
          <w:rFonts w:ascii="Cambria" w:eastAsia="Times New Roman" w:hAnsi="Cambria" w:cs="Times New Roman"/>
          <w:color w:val="29293A"/>
          <w:shd w:val="clear" w:color="auto" w:fill="FFFFFF"/>
        </w:rPr>
        <w:t xml:space="preserve">künftig </w:t>
      </w:r>
      <w:r w:rsidR="001E0B16">
        <w:rPr>
          <w:rFonts w:ascii="Cambria" w:eastAsia="Times New Roman" w:hAnsi="Cambria" w:cs="Times New Roman"/>
          <w:color w:val="29293A"/>
          <w:shd w:val="clear" w:color="auto" w:fill="FFFFFF"/>
        </w:rPr>
        <w:t xml:space="preserve">die Auszahlung </w:t>
      </w:r>
      <w:r w:rsidR="0045561A">
        <w:rPr>
          <w:rFonts w:ascii="Cambria" w:eastAsia="Times New Roman" w:hAnsi="Cambria" w:cs="Times New Roman"/>
          <w:color w:val="29293A"/>
          <w:shd w:val="clear" w:color="auto" w:fill="FFFFFF"/>
        </w:rPr>
        <w:t>von EU-</w:t>
      </w:r>
      <w:r w:rsidR="001E0B16">
        <w:rPr>
          <w:rFonts w:ascii="Cambria" w:eastAsia="Times New Roman" w:hAnsi="Cambria" w:cs="Times New Roman"/>
          <w:color w:val="29293A"/>
          <w:shd w:val="clear" w:color="auto" w:fill="FFFFFF"/>
        </w:rPr>
        <w:t>Fördermittel</w:t>
      </w:r>
      <w:r w:rsidR="0045561A">
        <w:rPr>
          <w:rFonts w:ascii="Cambria" w:eastAsia="Times New Roman" w:hAnsi="Cambria" w:cs="Times New Roman"/>
          <w:color w:val="29293A"/>
          <w:shd w:val="clear" w:color="auto" w:fill="FFFFFF"/>
        </w:rPr>
        <w:t>n</w:t>
      </w:r>
      <w:r w:rsidR="001E0B16">
        <w:rPr>
          <w:rFonts w:ascii="Cambria" w:eastAsia="Times New Roman" w:hAnsi="Cambria" w:cs="Times New Roman"/>
          <w:color w:val="29293A"/>
          <w:shd w:val="clear" w:color="auto" w:fill="FFFFFF"/>
        </w:rPr>
        <w:t xml:space="preserve"> an die Einhaltung der Rechtsstaatlichkeit zu knüpfen. Die Kommission zögert derzeit noch, diese „nukleare Option“ </w:t>
      </w:r>
      <w:r w:rsidR="007F1901">
        <w:rPr>
          <w:rFonts w:ascii="Cambria" w:eastAsia="Times New Roman" w:hAnsi="Cambria" w:cs="Times New Roman"/>
          <w:color w:val="29293A"/>
          <w:shd w:val="clear" w:color="auto" w:fill="FFFFFF"/>
        </w:rPr>
        <w:t>einzusetzen</w:t>
      </w:r>
      <w:r w:rsidR="001E0B16">
        <w:rPr>
          <w:rFonts w:ascii="Cambria" w:eastAsia="Times New Roman" w:hAnsi="Cambria" w:cs="Times New Roman"/>
          <w:color w:val="29293A"/>
          <w:shd w:val="clear" w:color="auto" w:fill="FFFFFF"/>
        </w:rPr>
        <w:t>, wird aber vom Europäischen Parlament insofern stark unter Druck gesetzt. Das Parlament hat der Kommission sogar angedroht, sie wegen Untätigkeit vor dem Gerichtshof zu verklagen</w:t>
      </w:r>
      <w:r w:rsidR="007F1901">
        <w:rPr>
          <w:rFonts w:ascii="Cambria" w:eastAsia="Times New Roman" w:hAnsi="Cambria" w:cs="Times New Roman"/>
          <w:color w:val="29293A"/>
          <w:shd w:val="clear" w:color="auto" w:fill="FFFFFF"/>
        </w:rPr>
        <w:t xml:space="preserve">, sollte sie die </w:t>
      </w:r>
      <w:r w:rsidR="007F1901">
        <w:rPr>
          <w:rFonts w:ascii="Cambria" w:eastAsia="Times New Roman" w:hAnsi="Cambria" w:cs="Times New Roman"/>
          <w:color w:val="29293A"/>
          <w:shd w:val="clear" w:color="auto" w:fill="FFFFFF"/>
        </w:rPr>
        <w:lastRenderedPageBreak/>
        <w:t>Rechtsstaatskonditionalität in Fällen schwerwiegender Rechtsstaatsverstöße nicht konsequent zum Einsatz bringen.</w:t>
      </w:r>
      <w:r w:rsidR="00310C24">
        <w:rPr>
          <w:rFonts w:ascii="Cambria" w:eastAsia="Times New Roman" w:hAnsi="Cambria" w:cs="Times New Roman"/>
          <w:color w:val="29293A"/>
          <w:shd w:val="clear" w:color="auto" w:fill="FFFFFF"/>
        </w:rPr>
        <w:t xml:space="preserve"> Angesichts der überragenden Bedeutung der EU-Fördermittel für Polen und Ungarn </w:t>
      </w:r>
      <w:r w:rsidR="0045561A">
        <w:rPr>
          <w:rFonts w:ascii="Cambria" w:eastAsia="Times New Roman" w:hAnsi="Cambria" w:cs="Times New Roman"/>
          <w:color w:val="29293A"/>
          <w:shd w:val="clear" w:color="auto" w:fill="FFFFFF"/>
        </w:rPr>
        <w:t xml:space="preserve">ist wohl </w:t>
      </w:r>
      <w:r w:rsidR="00310C24">
        <w:rPr>
          <w:rFonts w:ascii="Cambria" w:eastAsia="Times New Roman" w:hAnsi="Cambria" w:cs="Times New Roman"/>
          <w:color w:val="29293A"/>
          <w:shd w:val="clear" w:color="auto" w:fill="FFFFFF"/>
        </w:rPr>
        <w:t>nicht damit zu rechnen, dass diese Länder bis zum Ende auf ihre</w:t>
      </w:r>
      <w:r w:rsidR="007F1901">
        <w:rPr>
          <w:rFonts w:ascii="Cambria" w:eastAsia="Times New Roman" w:hAnsi="Cambria" w:cs="Times New Roman"/>
          <w:color w:val="29293A"/>
          <w:shd w:val="clear" w:color="auto" w:fill="FFFFFF"/>
        </w:rPr>
        <w:t>n</w:t>
      </w:r>
      <w:r w:rsidR="00310C24">
        <w:rPr>
          <w:rFonts w:ascii="Cambria" w:eastAsia="Times New Roman" w:hAnsi="Cambria" w:cs="Times New Roman"/>
          <w:color w:val="29293A"/>
          <w:shd w:val="clear" w:color="auto" w:fill="FFFFFF"/>
        </w:rPr>
        <w:t xml:space="preserve"> Position</w:t>
      </w:r>
      <w:r w:rsidR="007F1901">
        <w:rPr>
          <w:rFonts w:ascii="Cambria" w:eastAsia="Times New Roman" w:hAnsi="Cambria" w:cs="Times New Roman"/>
          <w:color w:val="29293A"/>
          <w:shd w:val="clear" w:color="auto" w:fill="FFFFFF"/>
        </w:rPr>
        <w:t>en</w:t>
      </w:r>
      <w:r w:rsidR="00310C24">
        <w:rPr>
          <w:rFonts w:ascii="Cambria" w:eastAsia="Times New Roman" w:hAnsi="Cambria" w:cs="Times New Roman"/>
          <w:color w:val="29293A"/>
          <w:shd w:val="clear" w:color="auto" w:fill="FFFFFF"/>
        </w:rPr>
        <w:t xml:space="preserve"> beharren werden.</w:t>
      </w:r>
      <w:r w:rsidR="0045561A">
        <w:rPr>
          <w:rFonts w:ascii="Cambria" w:eastAsia="Times New Roman" w:hAnsi="Cambria" w:cs="Times New Roman"/>
          <w:color w:val="29293A"/>
          <w:shd w:val="clear" w:color="auto" w:fill="FFFFFF"/>
        </w:rPr>
        <w:t xml:space="preserve"> </w:t>
      </w:r>
    </w:p>
    <w:p w14:paraId="707A2276" w14:textId="77777777" w:rsidR="00310C24" w:rsidRDefault="00310C24" w:rsidP="001E0B16">
      <w:pPr>
        <w:jc w:val="both"/>
        <w:rPr>
          <w:rFonts w:ascii="Cambria" w:eastAsia="Times New Roman" w:hAnsi="Cambria" w:cs="Times New Roman"/>
          <w:color w:val="29293A"/>
          <w:shd w:val="clear" w:color="auto" w:fill="FFFFFF"/>
        </w:rPr>
      </w:pPr>
    </w:p>
    <w:p w14:paraId="48D3DC9A" w14:textId="12F2880D" w:rsidR="00B42B62" w:rsidRDefault="00B42B62" w:rsidP="00310C24">
      <w:pPr>
        <w:jc w:val="both"/>
        <w:rPr>
          <w:rFonts w:ascii="Cambria" w:eastAsia="Times New Roman" w:hAnsi="Cambria" w:cs="Times New Roman"/>
          <w:color w:val="29293A"/>
          <w:shd w:val="clear" w:color="auto" w:fill="FFFFFF"/>
        </w:rPr>
      </w:pPr>
      <w:r>
        <w:rPr>
          <w:rFonts w:ascii="Cambria" w:eastAsia="Times New Roman" w:hAnsi="Cambria" w:cs="Times New Roman"/>
          <w:color w:val="29293A"/>
          <w:shd w:val="clear" w:color="auto" w:fill="FFFFFF"/>
        </w:rPr>
        <w:t xml:space="preserve">Ein Blick in den Länderbericht für Deutschland zeigt, dass es </w:t>
      </w:r>
      <w:r w:rsidR="00310C24">
        <w:rPr>
          <w:rFonts w:ascii="Cambria" w:eastAsia="Times New Roman" w:hAnsi="Cambria" w:cs="Times New Roman"/>
          <w:color w:val="29293A"/>
          <w:shd w:val="clear" w:color="auto" w:fill="FFFFFF"/>
        </w:rPr>
        <w:t xml:space="preserve">dort </w:t>
      </w:r>
      <w:r>
        <w:rPr>
          <w:rFonts w:ascii="Cambria" w:eastAsia="Times New Roman" w:hAnsi="Cambria" w:cs="Times New Roman"/>
          <w:color w:val="29293A"/>
          <w:shd w:val="clear" w:color="auto" w:fill="FFFFFF"/>
        </w:rPr>
        <w:t xml:space="preserve">zwar keine wesentlichen </w:t>
      </w:r>
      <w:r w:rsidR="00310C24">
        <w:rPr>
          <w:rFonts w:ascii="Cambria" w:eastAsia="Times New Roman" w:hAnsi="Cambria" w:cs="Times New Roman"/>
          <w:color w:val="29293A"/>
          <w:shd w:val="clear" w:color="auto" w:fill="FFFFFF"/>
        </w:rPr>
        <w:t>Rechtsstaatsd</w:t>
      </w:r>
      <w:r>
        <w:rPr>
          <w:rFonts w:ascii="Cambria" w:eastAsia="Times New Roman" w:hAnsi="Cambria" w:cs="Times New Roman"/>
          <w:color w:val="29293A"/>
          <w:shd w:val="clear" w:color="auto" w:fill="FFFFFF"/>
        </w:rPr>
        <w:t xml:space="preserve">efizite gibt und insbesondere an der Unabhängigkeit der Justiz keine </w:t>
      </w:r>
      <w:r w:rsidR="00904D4F">
        <w:rPr>
          <w:rFonts w:ascii="Cambria" w:eastAsia="Times New Roman" w:hAnsi="Cambria" w:cs="Times New Roman"/>
          <w:color w:val="29293A"/>
          <w:shd w:val="clear" w:color="auto" w:fill="FFFFFF"/>
        </w:rPr>
        <w:t xml:space="preserve">gravierenden </w:t>
      </w:r>
      <w:r>
        <w:rPr>
          <w:rFonts w:ascii="Cambria" w:eastAsia="Times New Roman" w:hAnsi="Cambria" w:cs="Times New Roman"/>
          <w:color w:val="29293A"/>
          <w:shd w:val="clear" w:color="auto" w:fill="FFFFFF"/>
        </w:rPr>
        <w:t xml:space="preserve">Zweifel bestehen. Dennoch ist auch Deutschland nicht über jede Kritik erhaben. Die Kommission bemängelt etwa das (in den meisten EU-Staaten so nicht bestehende, allerdings auch bei uns </w:t>
      </w:r>
      <w:r w:rsidR="00904D4F">
        <w:rPr>
          <w:rFonts w:ascii="Cambria" w:eastAsia="Times New Roman" w:hAnsi="Cambria" w:cs="Times New Roman"/>
          <w:color w:val="29293A"/>
          <w:shd w:val="clear" w:color="auto" w:fill="FFFFFF"/>
        </w:rPr>
        <w:t xml:space="preserve">nur </w:t>
      </w:r>
      <w:r>
        <w:rPr>
          <w:rFonts w:ascii="Cambria" w:eastAsia="Times New Roman" w:hAnsi="Cambria" w:cs="Times New Roman"/>
          <w:color w:val="29293A"/>
          <w:shd w:val="clear" w:color="auto" w:fill="FFFFFF"/>
        </w:rPr>
        <w:t xml:space="preserve">selten ausgeübte) ministerielle Weisungsrecht gegenüber Staatsanwälten, </w:t>
      </w:r>
      <w:r w:rsidR="00AB7B6D">
        <w:rPr>
          <w:rFonts w:ascii="Cambria" w:eastAsia="Times New Roman" w:hAnsi="Cambria" w:cs="Times New Roman"/>
          <w:color w:val="29293A"/>
          <w:shd w:val="clear" w:color="auto" w:fill="FFFFFF"/>
        </w:rPr>
        <w:t xml:space="preserve">die Praxis bei </w:t>
      </w:r>
      <w:r>
        <w:rPr>
          <w:rFonts w:ascii="Cambria" w:eastAsia="Times New Roman" w:hAnsi="Cambria" w:cs="Times New Roman"/>
          <w:color w:val="29293A"/>
          <w:shd w:val="clear" w:color="auto" w:fill="FFFFFF"/>
        </w:rPr>
        <w:t xml:space="preserve">Besetzungen </w:t>
      </w:r>
      <w:r w:rsidR="00AB7B6D">
        <w:rPr>
          <w:rFonts w:ascii="Cambria" w:eastAsia="Times New Roman" w:hAnsi="Cambria" w:cs="Times New Roman"/>
          <w:color w:val="29293A"/>
          <w:shd w:val="clear" w:color="auto" w:fill="FFFFFF"/>
        </w:rPr>
        <w:t>in</w:t>
      </w:r>
      <w:r>
        <w:rPr>
          <w:rFonts w:ascii="Cambria" w:eastAsia="Times New Roman" w:hAnsi="Cambria" w:cs="Times New Roman"/>
          <w:color w:val="29293A"/>
          <w:shd w:val="clear" w:color="auto" w:fill="FFFFFF"/>
        </w:rPr>
        <w:t xml:space="preserve"> den Bundesgerichten oder das Einstellungsverfahren von Richtern. Bemerkenswert ist insbesondere, dass die Kommission kürzlich gegen Deutschland wegen des vielumstrittenen Urteils des Bundesverfassungsgerichts</w:t>
      </w:r>
      <w:r w:rsidR="00F70E7D">
        <w:rPr>
          <w:rFonts w:ascii="Cambria" w:eastAsia="Times New Roman" w:hAnsi="Cambria" w:cs="Times New Roman"/>
          <w:color w:val="29293A"/>
          <w:shd w:val="clear" w:color="auto" w:fill="FFFFFF"/>
        </w:rPr>
        <w:t xml:space="preserve"> (BVerfG)</w:t>
      </w:r>
      <w:r>
        <w:rPr>
          <w:rFonts w:ascii="Cambria" w:eastAsia="Times New Roman" w:hAnsi="Cambria" w:cs="Times New Roman"/>
          <w:color w:val="29293A"/>
          <w:shd w:val="clear" w:color="auto" w:fill="FFFFFF"/>
        </w:rPr>
        <w:t xml:space="preserve"> zu den EZB-Anleihen ein förmliches Vertragsverletzungsverfahren eingeleitet hat, mit dem Vorwurf (vereinfacht formuliert), das BVerfG h</w:t>
      </w:r>
      <w:r w:rsidR="007F1901">
        <w:rPr>
          <w:rFonts w:ascii="Cambria" w:eastAsia="Times New Roman" w:hAnsi="Cambria" w:cs="Times New Roman"/>
          <w:color w:val="29293A"/>
          <w:shd w:val="clear" w:color="auto" w:fill="FFFFFF"/>
        </w:rPr>
        <w:t>abe</w:t>
      </w:r>
      <w:r>
        <w:rPr>
          <w:rFonts w:ascii="Cambria" w:eastAsia="Times New Roman" w:hAnsi="Cambria" w:cs="Times New Roman"/>
          <w:color w:val="29293A"/>
          <w:shd w:val="clear" w:color="auto" w:fill="FFFFFF"/>
        </w:rPr>
        <w:t xml:space="preserve"> sich </w:t>
      </w:r>
      <w:r w:rsidR="007F1901">
        <w:rPr>
          <w:rFonts w:ascii="Cambria" w:eastAsia="Times New Roman" w:hAnsi="Cambria" w:cs="Times New Roman"/>
          <w:color w:val="29293A"/>
          <w:shd w:val="clear" w:color="auto" w:fill="FFFFFF"/>
        </w:rPr>
        <w:t xml:space="preserve">in unzulässiger Weise </w:t>
      </w:r>
      <w:r>
        <w:rPr>
          <w:rFonts w:ascii="Cambria" w:eastAsia="Times New Roman" w:hAnsi="Cambria" w:cs="Times New Roman"/>
          <w:color w:val="29293A"/>
          <w:shd w:val="clear" w:color="auto" w:fill="FFFFFF"/>
        </w:rPr>
        <w:t>über eine Entscheidung des Europäischen Gerichtshofs hinweg</w:t>
      </w:r>
      <w:r w:rsidR="007F1901">
        <w:rPr>
          <w:rFonts w:ascii="Cambria" w:eastAsia="Times New Roman" w:hAnsi="Cambria" w:cs="Times New Roman"/>
          <w:color w:val="29293A"/>
          <w:shd w:val="clear" w:color="auto" w:fill="FFFFFF"/>
        </w:rPr>
        <w:t>gesetzt</w:t>
      </w:r>
      <w:r>
        <w:rPr>
          <w:rFonts w:ascii="Cambria" w:eastAsia="Times New Roman" w:hAnsi="Cambria" w:cs="Times New Roman"/>
          <w:color w:val="29293A"/>
          <w:shd w:val="clear" w:color="auto" w:fill="FFFFFF"/>
        </w:rPr>
        <w:t xml:space="preserve">. Ein solches gegen ein Gerichtsurteil eines Mitgliedsstaates gerichtetes Vertragsverletzungsverfahren ist sehr </w:t>
      </w:r>
      <w:r w:rsidR="00AB7B6D">
        <w:rPr>
          <w:rFonts w:ascii="Cambria" w:eastAsia="Times New Roman" w:hAnsi="Cambria" w:cs="Times New Roman"/>
          <w:color w:val="29293A"/>
          <w:shd w:val="clear" w:color="auto" w:fill="FFFFFF"/>
        </w:rPr>
        <w:t>un</w:t>
      </w:r>
      <w:r>
        <w:rPr>
          <w:rFonts w:ascii="Cambria" w:eastAsia="Times New Roman" w:hAnsi="Cambria" w:cs="Times New Roman"/>
          <w:color w:val="29293A"/>
          <w:shd w:val="clear" w:color="auto" w:fill="FFFFFF"/>
        </w:rPr>
        <w:t xml:space="preserve">gewöhnlich. </w:t>
      </w:r>
      <w:r w:rsidR="00310C24">
        <w:rPr>
          <w:rFonts w:ascii="Cambria" w:eastAsia="Times New Roman" w:hAnsi="Cambria" w:cs="Times New Roman"/>
          <w:color w:val="29293A"/>
          <w:shd w:val="clear" w:color="auto" w:fill="FFFFFF"/>
        </w:rPr>
        <w:t xml:space="preserve">Man wird gespannt verfolgen, wie dieses Verfahren weitergeht. </w:t>
      </w:r>
    </w:p>
    <w:p w14:paraId="72310059" w14:textId="77777777" w:rsidR="00310C24" w:rsidRPr="001E0B16" w:rsidRDefault="00310C24" w:rsidP="00310C24">
      <w:pPr>
        <w:jc w:val="both"/>
        <w:rPr>
          <w:rFonts w:ascii="Cambria" w:eastAsia="Times New Roman" w:hAnsi="Cambria" w:cs="Times New Roman"/>
          <w:color w:val="29293A"/>
          <w:shd w:val="clear" w:color="auto" w:fill="FFFFFF"/>
        </w:rPr>
      </w:pPr>
    </w:p>
    <w:p w14:paraId="2908412C" w14:textId="77777777" w:rsidR="003B7ABD" w:rsidRPr="00E8144F" w:rsidRDefault="003B7ABD" w:rsidP="00E8144F">
      <w:pPr>
        <w:rPr>
          <w:rFonts w:ascii="Cambria" w:hAnsi="Cambria"/>
          <w:b/>
          <w:bCs/>
        </w:rPr>
      </w:pPr>
    </w:p>
    <w:p w14:paraId="6688CC08" w14:textId="3F53C27E" w:rsidR="003B7ABD" w:rsidRDefault="00E8144F" w:rsidP="007618F8">
      <w:pPr>
        <w:pStyle w:val="Listenabsatz"/>
        <w:numPr>
          <w:ilvl w:val="0"/>
          <w:numId w:val="2"/>
        </w:numPr>
        <w:rPr>
          <w:rFonts w:ascii="Cambria" w:hAnsi="Cambria"/>
          <w:b/>
          <w:bCs/>
        </w:rPr>
      </w:pPr>
      <w:proofErr w:type="spellStart"/>
      <w:r>
        <w:rPr>
          <w:rFonts w:ascii="Cambria" w:hAnsi="Cambria"/>
          <w:b/>
          <w:bCs/>
        </w:rPr>
        <w:t>Brexit</w:t>
      </w:r>
      <w:proofErr w:type="spellEnd"/>
      <w:r>
        <w:rPr>
          <w:rFonts w:ascii="Cambria" w:hAnsi="Cambria"/>
          <w:b/>
          <w:bCs/>
        </w:rPr>
        <w:t xml:space="preserve"> – hält die Einigung?</w:t>
      </w:r>
    </w:p>
    <w:p w14:paraId="77428706" w14:textId="77777777" w:rsidR="00D26176" w:rsidRPr="00D26176" w:rsidRDefault="00D26176" w:rsidP="00D26176">
      <w:pPr>
        <w:pStyle w:val="Listenabsatz"/>
        <w:rPr>
          <w:rFonts w:ascii="Cambria" w:hAnsi="Cambria"/>
          <w:b/>
          <w:bCs/>
        </w:rPr>
      </w:pPr>
    </w:p>
    <w:p w14:paraId="3BF195C6" w14:textId="315EB4AC" w:rsidR="00C70621" w:rsidRPr="006E0B0D" w:rsidRDefault="006706C1" w:rsidP="006E0B0D">
      <w:pPr>
        <w:jc w:val="both"/>
        <w:rPr>
          <w:rFonts w:ascii="Cambria" w:hAnsi="Cambria"/>
        </w:rPr>
      </w:pPr>
      <w:r w:rsidRPr="006E0B0D">
        <w:rPr>
          <w:rFonts w:ascii="Cambria" w:hAnsi="Cambria"/>
        </w:rPr>
        <w:t xml:space="preserve">„The deal </w:t>
      </w:r>
      <w:proofErr w:type="spellStart"/>
      <w:r w:rsidRPr="006E0B0D">
        <w:rPr>
          <w:rFonts w:ascii="Cambria" w:hAnsi="Cambria"/>
        </w:rPr>
        <w:t>is</w:t>
      </w:r>
      <w:proofErr w:type="spellEnd"/>
      <w:r w:rsidRPr="006E0B0D">
        <w:rPr>
          <w:rFonts w:ascii="Cambria" w:hAnsi="Cambria"/>
        </w:rPr>
        <w:t xml:space="preserve"> </w:t>
      </w:r>
      <w:proofErr w:type="spellStart"/>
      <w:r w:rsidRPr="006E0B0D">
        <w:rPr>
          <w:rFonts w:ascii="Cambria" w:hAnsi="Cambria"/>
        </w:rPr>
        <w:t>done</w:t>
      </w:r>
      <w:proofErr w:type="spellEnd"/>
      <w:r w:rsidRPr="006E0B0D">
        <w:rPr>
          <w:rFonts w:ascii="Cambria" w:hAnsi="Cambria"/>
        </w:rPr>
        <w:t xml:space="preserve">“: </w:t>
      </w:r>
      <w:r w:rsidR="00D26176" w:rsidRPr="006E0B0D">
        <w:rPr>
          <w:rFonts w:ascii="Cambria" w:hAnsi="Cambria"/>
        </w:rPr>
        <w:t xml:space="preserve">Buchstäblich im letzten Moment hatten sich die EU und Großbritannien Ende 2020 auf ein „Handels- und Kooperationsabkommen“ geeinigt und damit einen „harten </w:t>
      </w:r>
      <w:proofErr w:type="spellStart"/>
      <w:r w:rsidR="00D26176" w:rsidRPr="006E0B0D">
        <w:rPr>
          <w:rFonts w:ascii="Cambria" w:hAnsi="Cambria"/>
        </w:rPr>
        <w:t>Brexit</w:t>
      </w:r>
      <w:proofErr w:type="spellEnd"/>
      <w:r w:rsidR="00D26176" w:rsidRPr="006E0B0D">
        <w:rPr>
          <w:rFonts w:ascii="Cambria" w:hAnsi="Cambria"/>
        </w:rPr>
        <w:t xml:space="preserve">“ ohne vertragliche Regelung abgewendet. Das Abkommen </w:t>
      </w:r>
      <w:r w:rsidR="00AB7B6D" w:rsidRPr="006E0B0D">
        <w:rPr>
          <w:rFonts w:ascii="Cambria" w:hAnsi="Cambria"/>
        </w:rPr>
        <w:t>soll den Rahmen der künftigen Beziehungen zwischen der EU und dem ehemaligen EU-Mitglied festlegen.</w:t>
      </w:r>
      <w:r w:rsidR="00AB7B6D">
        <w:rPr>
          <w:rFonts w:ascii="Cambria" w:hAnsi="Cambria"/>
        </w:rPr>
        <w:t xml:space="preserve"> </w:t>
      </w:r>
      <w:r w:rsidR="00AB7B6D" w:rsidRPr="006E0B0D">
        <w:rPr>
          <w:rFonts w:ascii="Cambria" w:hAnsi="Cambria"/>
        </w:rPr>
        <w:t xml:space="preserve">Es </w:t>
      </w:r>
      <w:r w:rsidR="00D26176" w:rsidRPr="006E0B0D">
        <w:rPr>
          <w:rFonts w:ascii="Cambria" w:hAnsi="Cambria"/>
        </w:rPr>
        <w:t>ergän</w:t>
      </w:r>
      <w:r w:rsidRPr="006E0B0D">
        <w:rPr>
          <w:rFonts w:ascii="Cambria" w:hAnsi="Cambria"/>
        </w:rPr>
        <w:t>zt</w:t>
      </w:r>
      <w:r w:rsidR="00D26176" w:rsidRPr="006E0B0D">
        <w:rPr>
          <w:rFonts w:ascii="Cambria" w:hAnsi="Cambria"/>
        </w:rPr>
        <w:t xml:space="preserve"> den eigentlichen Austrittsvertrag von 2020 (mit dem vielzitierten Irland</w:t>
      </w:r>
      <w:r w:rsidR="00C70621" w:rsidRPr="006E0B0D">
        <w:rPr>
          <w:rFonts w:ascii="Cambria" w:hAnsi="Cambria"/>
        </w:rPr>
        <w:t>-</w:t>
      </w:r>
      <w:r w:rsidR="00D26176" w:rsidRPr="006E0B0D">
        <w:rPr>
          <w:rFonts w:ascii="Cambria" w:hAnsi="Cambria"/>
        </w:rPr>
        <w:t>Protokoll)</w:t>
      </w:r>
      <w:r w:rsidR="00C70621" w:rsidRPr="006E0B0D">
        <w:rPr>
          <w:rFonts w:ascii="Cambria" w:hAnsi="Cambria"/>
        </w:rPr>
        <w:t xml:space="preserve">. </w:t>
      </w:r>
    </w:p>
    <w:p w14:paraId="60B33D9B" w14:textId="77777777" w:rsidR="00C70621" w:rsidRDefault="00C70621" w:rsidP="006706C1">
      <w:pPr>
        <w:pStyle w:val="Listenabsatz"/>
        <w:jc w:val="both"/>
        <w:rPr>
          <w:rFonts w:ascii="Cambria" w:hAnsi="Cambria"/>
        </w:rPr>
      </w:pPr>
    </w:p>
    <w:p w14:paraId="54EA9BC9" w14:textId="435381EA" w:rsidR="006706C1" w:rsidRPr="006E0B0D" w:rsidRDefault="006706C1" w:rsidP="006E0B0D">
      <w:pPr>
        <w:jc w:val="both"/>
        <w:rPr>
          <w:rFonts w:ascii="Cambria" w:hAnsi="Cambria"/>
        </w:rPr>
      </w:pPr>
      <w:r w:rsidRPr="006E0B0D">
        <w:rPr>
          <w:rFonts w:ascii="Cambria" w:hAnsi="Cambria"/>
        </w:rPr>
        <w:t xml:space="preserve">Man sollte annehmen, dass das Abkommen alle Aspekte der künftigen Beziehungen eingehend und abschließend regelt; </w:t>
      </w:r>
      <w:r w:rsidR="00C70621" w:rsidRPr="006E0B0D">
        <w:rPr>
          <w:rFonts w:ascii="Cambria" w:hAnsi="Cambria"/>
        </w:rPr>
        <w:t xml:space="preserve">immerhin </w:t>
      </w:r>
      <w:r w:rsidRPr="006E0B0D">
        <w:rPr>
          <w:rFonts w:ascii="Cambria" w:hAnsi="Cambria"/>
        </w:rPr>
        <w:t xml:space="preserve">umfasst </w:t>
      </w:r>
      <w:r w:rsidR="00C70621" w:rsidRPr="006E0B0D">
        <w:rPr>
          <w:rFonts w:ascii="Cambria" w:hAnsi="Cambria"/>
        </w:rPr>
        <w:t xml:space="preserve">es </w:t>
      </w:r>
      <w:r w:rsidRPr="006E0B0D">
        <w:rPr>
          <w:rFonts w:ascii="Cambria" w:hAnsi="Cambria"/>
        </w:rPr>
        <w:t xml:space="preserve">insgesamt </w:t>
      </w:r>
      <w:r w:rsidR="00C70621" w:rsidRPr="006E0B0D">
        <w:rPr>
          <w:rFonts w:ascii="Cambria" w:hAnsi="Cambria"/>
        </w:rPr>
        <w:t xml:space="preserve">über </w:t>
      </w:r>
      <w:r w:rsidRPr="006E0B0D">
        <w:rPr>
          <w:rFonts w:ascii="Cambria" w:hAnsi="Cambria"/>
        </w:rPr>
        <w:t>1400 Seiten im EU-Amtsblatt.</w:t>
      </w:r>
      <w:r w:rsidR="00C70621" w:rsidRPr="006E0B0D">
        <w:rPr>
          <w:rFonts w:ascii="Cambria" w:hAnsi="Cambria"/>
        </w:rPr>
        <w:t xml:space="preserve"> </w:t>
      </w:r>
      <w:r w:rsidR="00514200" w:rsidRPr="006E0B0D">
        <w:rPr>
          <w:rFonts w:ascii="Cambria" w:hAnsi="Cambria"/>
        </w:rPr>
        <w:t>Leider ist d</w:t>
      </w:r>
      <w:r w:rsidR="00C70621" w:rsidRPr="006E0B0D">
        <w:rPr>
          <w:rFonts w:ascii="Cambria" w:hAnsi="Cambria"/>
        </w:rPr>
        <w:t>em</w:t>
      </w:r>
      <w:r w:rsidR="00514200" w:rsidRPr="006E0B0D">
        <w:rPr>
          <w:rFonts w:ascii="Cambria" w:hAnsi="Cambria"/>
        </w:rPr>
        <w:t xml:space="preserve"> </w:t>
      </w:r>
      <w:r w:rsidR="00C70621" w:rsidRPr="006E0B0D">
        <w:rPr>
          <w:rFonts w:ascii="Cambria" w:hAnsi="Cambria"/>
        </w:rPr>
        <w:t xml:space="preserve">aber nicht so. Einige Vereinbarungen sind zeitlich begrenzt (etwa die </w:t>
      </w:r>
      <w:proofErr w:type="gramStart"/>
      <w:r w:rsidR="00C70621" w:rsidRPr="006E0B0D">
        <w:rPr>
          <w:rFonts w:ascii="Cambria" w:hAnsi="Cambria"/>
        </w:rPr>
        <w:t>bis zuletzt heiß umstrittenen Regelungen</w:t>
      </w:r>
      <w:proofErr w:type="gramEnd"/>
      <w:r w:rsidR="00C70621" w:rsidRPr="006E0B0D">
        <w:rPr>
          <w:rFonts w:ascii="Cambria" w:hAnsi="Cambria"/>
        </w:rPr>
        <w:t xml:space="preserve"> über die Fischereirecht</w:t>
      </w:r>
      <w:r w:rsidR="0070340D" w:rsidRPr="006E0B0D">
        <w:rPr>
          <w:rFonts w:ascii="Cambria" w:hAnsi="Cambria"/>
        </w:rPr>
        <w:t>e</w:t>
      </w:r>
      <w:r w:rsidR="00C70621" w:rsidRPr="006E0B0D">
        <w:rPr>
          <w:rFonts w:ascii="Cambria" w:hAnsi="Cambria"/>
        </w:rPr>
        <w:t>, die erst einmal nur für fünf Jahre gelten), andere Teile des Abkommens bedürfen weiterer Konkretisierung</w:t>
      </w:r>
      <w:r w:rsidR="00AB7B6D">
        <w:rPr>
          <w:rFonts w:ascii="Cambria" w:hAnsi="Cambria"/>
        </w:rPr>
        <w:t>.</w:t>
      </w:r>
      <w:r w:rsidR="00C70621" w:rsidRPr="006E0B0D">
        <w:rPr>
          <w:rFonts w:ascii="Cambria" w:hAnsi="Cambria"/>
        </w:rPr>
        <w:t xml:space="preserve"> </w:t>
      </w:r>
      <w:r w:rsidR="00AB7B6D">
        <w:rPr>
          <w:rFonts w:ascii="Cambria" w:hAnsi="Cambria"/>
        </w:rPr>
        <w:t>U</w:t>
      </w:r>
      <w:r w:rsidR="00C70621" w:rsidRPr="006E0B0D">
        <w:rPr>
          <w:rFonts w:ascii="Cambria" w:hAnsi="Cambria"/>
        </w:rPr>
        <w:t>nd schließlich klammert das Abkommen wichtige EU-</w:t>
      </w:r>
      <w:r w:rsidR="0070340D" w:rsidRPr="006E0B0D">
        <w:rPr>
          <w:rFonts w:ascii="Cambria" w:hAnsi="Cambria"/>
        </w:rPr>
        <w:t>Politikb</w:t>
      </w:r>
      <w:r w:rsidR="00C70621" w:rsidRPr="006E0B0D">
        <w:rPr>
          <w:rFonts w:ascii="Cambria" w:hAnsi="Cambria"/>
        </w:rPr>
        <w:t>ereiche aus</w:t>
      </w:r>
      <w:r w:rsidR="00F36732">
        <w:rPr>
          <w:rFonts w:ascii="Cambria" w:hAnsi="Cambria"/>
        </w:rPr>
        <w:t xml:space="preserve"> (</w:t>
      </w:r>
      <w:r w:rsidR="00C70621" w:rsidRPr="006E0B0D">
        <w:rPr>
          <w:rFonts w:ascii="Cambria" w:hAnsi="Cambria"/>
        </w:rPr>
        <w:t>etwa die Finanzdienstleistungen oder die Gemeinsame Außen- und Sicherheitspolitik</w:t>
      </w:r>
      <w:r w:rsidR="00F36732">
        <w:rPr>
          <w:rFonts w:ascii="Cambria" w:hAnsi="Cambria"/>
        </w:rPr>
        <w:t>)</w:t>
      </w:r>
      <w:r w:rsidR="00C70621" w:rsidRPr="006E0B0D">
        <w:rPr>
          <w:rFonts w:ascii="Cambria" w:hAnsi="Cambria"/>
        </w:rPr>
        <w:t xml:space="preserve">. </w:t>
      </w:r>
    </w:p>
    <w:p w14:paraId="3097AA99" w14:textId="45788107" w:rsidR="00C70621" w:rsidRDefault="00C70621" w:rsidP="006706C1">
      <w:pPr>
        <w:pStyle w:val="Listenabsatz"/>
        <w:jc w:val="both"/>
        <w:rPr>
          <w:rFonts w:ascii="Cambria" w:hAnsi="Cambria"/>
        </w:rPr>
      </w:pPr>
    </w:p>
    <w:p w14:paraId="1DB380CE" w14:textId="4BF0F651" w:rsidR="004B726B" w:rsidRPr="006E0B0D" w:rsidRDefault="00C70621" w:rsidP="006E0B0D">
      <w:pPr>
        <w:jc w:val="both"/>
        <w:rPr>
          <w:rFonts w:ascii="Cambria" w:hAnsi="Cambria"/>
        </w:rPr>
      </w:pPr>
      <w:r w:rsidRPr="006E0B0D">
        <w:rPr>
          <w:rFonts w:ascii="Cambria" w:hAnsi="Cambria"/>
        </w:rPr>
        <w:t>Viel Text und reichlich offene Fragen! Ob das Abkommen mit s</w:t>
      </w:r>
      <w:r w:rsidR="00EC754A" w:rsidRPr="006E0B0D">
        <w:rPr>
          <w:rFonts w:ascii="Cambria" w:hAnsi="Cambria"/>
        </w:rPr>
        <w:t>ei</w:t>
      </w:r>
      <w:r w:rsidRPr="006E0B0D">
        <w:rPr>
          <w:rFonts w:ascii="Cambria" w:hAnsi="Cambria"/>
        </w:rPr>
        <w:t xml:space="preserve">nen zahlreichen Kompromiss-, Revisions- und Kündigungsklauseln eine stabile </w:t>
      </w:r>
      <w:r w:rsidR="00EC754A" w:rsidRPr="006E0B0D">
        <w:rPr>
          <w:rFonts w:ascii="Cambria" w:hAnsi="Cambria"/>
        </w:rPr>
        <w:t xml:space="preserve">und dauerhafte Grundlage für die Beziehungen zwischen der EU und Großbritannien geschaffen hat, bleibt abzuwarten. </w:t>
      </w:r>
    </w:p>
    <w:p w14:paraId="4A13ACB5" w14:textId="77777777" w:rsidR="004B726B" w:rsidRDefault="004B726B" w:rsidP="004B726B">
      <w:pPr>
        <w:pStyle w:val="Listenabsatz"/>
        <w:jc w:val="both"/>
        <w:rPr>
          <w:rFonts w:ascii="Cambria" w:hAnsi="Cambria"/>
        </w:rPr>
      </w:pPr>
    </w:p>
    <w:p w14:paraId="6B0A3A05" w14:textId="12850AB2" w:rsidR="004B726B" w:rsidRPr="006E0B0D" w:rsidRDefault="00EC754A" w:rsidP="006E0B0D">
      <w:pPr>
        <w:jc w:val="both"/>
        <w:rPr>
          <w:rFonts w:ascii="Cambria" w:hAnsi="Cambria"/>
        </w:rPr>
      </w:pPr>
      <w:r w:rsidRPr="006E0B0D">
        <w:rPr>
          <w:rFonts w:ascii="Cambria" w:hAnsi="Cambria"/>
        </w:rPr>
        <w:t xml:space="preserve">Von vornherein war klar, dass </w:t>
      </w:r>
      <w:r w:rsidR="00F36732">
        <w:rPr>
          <w:rFonts w:ascii="Cambria" w:hAnsi="Cambria"/>
        </w:rPr>
        <w:t xml:space="preserve">der vereinbarte </w:t>
      </w:r>
      <w:r w:rsidRPr="006E0B0D">
        <w:rPr>
          <w:rFonts w:ascii="Cambria" w:hAnsi="Cambria"/>
        </w:rPr>
        <w:t xml:space="preserve">Freihandel </w:t>
      </w:r>
      <w:r w:rsidR="00F36732">
        <w:rPr>
          <w:rFonts w:ascii="Cambria" w:hAnsi="Cambria"/>
        </w:rPr>
        <w:t xml:space="preserve">zwischen der EU und Großbritannien </w:t>
      </w:r>
      <w:r w:rsidRPr="006E0B0D">
        <w:rPr>
          <w:rFonts w:ascii="Cambria" w:hAnsi="Cambria"/>
        </w:rPr>
        <w:t xml:space="preserve">nicht </w:t>
      </w:r>
      <w:r w:rsidR="00F36732">
        <w:rPr>
          <w:rFonts w:ascii="Cambria" w:hAnsi="Cambria"/>
        </w:rPr>
        <w:t xml:space="preserve">dem </w:t>
      </w:r>
      <w:r w:rsidRPr="006E0B0D">
        <w:rPr>
          <w:rFonts w:ascii="Cambria" w:hAnsi="Cambria"/>
        </w:rPr>
        <w:t xml:space="preserve">Binnenmarkt und </w:t>
      </w:r>
      <w:r w:rsidR="00F36732">
        <w:rPr>
          <w:rFonts w:ascii="Cambria" w:hAnsi="Cambria"/>
        </w:rPr>
        <w:t xml:space="preserve">der </w:t>
      </w:r>
      <w:r w:rsidRPr="006E0B0D">
        <w:rPr>
          <w:rFonts w:ascii="Cambria" w:hAnsi="Cambria"/>
        </w:rPr>
        <w:t>Zollunion</w:t>
      </w:r>
      <w:r w:rsidR="00F36732">
        <w:rPr>
          <w:rFonts w:ascii="Cambria" w:hAnsi="Cambria"/>
        </w:rPr>
        <w:t xml:space="preserve"> gleichkommt, von denen die Briten als EU-Mitglied profitierten</w:t>
      </w:r>
      <w:r w:rsidRPr="006E0B0D">
        <w:rPr>
          <w:rFonts w:ascii="Cambria" w:hAnsi="Cambria"/>
        </w:rPr>
        <w:t xml:space="preserve">. Zwar werden im gegenseitigen Handel keine Zölle erhoben, Grenzkontrollen sind gleichwohl erforderlich - etwa zur Kontrolle des Warenursprungs oder der Qualitätsstandards. Die damit verbundenen Erschwernisse treffen die Wirtschaft auf beiden Seiten gleichermaßen – darüber wurde in der Presse in </w:t>
      </w:r>
      <w:r w:rsidRPr="006E0B0D">
        <w:rPr>
          <w:rFonts w:ascii="Cambria" w:hAnsi="Cambria"/>
        </w:rPr>
        <w:lastRenderedPageBreak/>
        <w:t xml:space="preserve">den letzten Monaten viel berichtet. </w:t>
      </w:r>
      <w:r w:rsidR="004B726B" w:rsidRPr="006E0B0D">
        <w:rPr>
          <w:rFonts w:ascii="Cambria" w:hAnsi="Cambria"/>
        </w:rPr>
        <w:t xml:space="preserve">Schon jetzt zeichnen sich Handelsverlagerungen ab. </w:t>
      </w:r>
      <w:r w:rsidR="0070340D" w:rsidRPr="006E0B0D">
        <w:rPr>
          <w:rFonts w:ascii="Cambria" w:hAnsi="Cambria"/>
        </w:rPr>
        <w:t xml:space="preserve">So wird der umfangreiche Handel zwischen Irland </w:t>
      </w:r>
      <w:r w:rsidR="007E638A">
        <w:rPr>
          <w:rFonts w:ascii="Cambria" w:hAnsi="Cambria"/>
        </w:rPr>
        <w:t xml:space="preserve">und dem Rest der EU </w:t>
      </w:r>
      <w:r w:rsidR="0070340D" w:rsidRPr="006E0B0D">
        <w:rPr>
          <w:rFonts w:ascii="Cambria" w:hAnsi="Cambria"/>
        </w:rPr>
        <w:t xml:space="preserve">zunehmend auf dem direkten Seeweg von und nach Frankreich oder den Niederlanden abgewickelt, unter Vermeidung der mit dem bislang üblichen Transit durch Großbritannien nunmehr verbundenen Formalitäten. </w:t>
      </w:r>
    </w:p>
    <w:p w14:paraId="5235D750" w14:textId="77777777" w:rsidR="004B726B" w:rsidRDefault="004B726B" w:rsidP="004B726B">
      <w:pPr>
        <w:pStyle w:val="Listenabsatz"/>
        <w:jc w:val="both"/>
        <w:rPr>
          <w:rFonts w:ascii="Cambria" w:hAnsi="Cambria"/>
        </w:rPr>
      </w:pPr>
    </w:p>
    <w:p w14:paraId="13F0C8E2" w14:textId="51F06306" w:rsidR="0070340D" w:rsidRPr="006E0B0D" w:rsidRDefault="00EC754A" w:rsidP="00F36732">
      <w:pPr>
        <w:jc w:val="both"/>
        <w:rPr>
          <w:rFonts w:ascii="Cambria" w:hAnsi="Cambria"/>
        </w:rPr>
      </w:pPr>
      <w:r w:rsidRPr="006E0B0D">
        <w:rPr>
          <w:rFonts w:ascii="Cambria" w:hAnsi="Cambria"/>
        </w:rPr>
        <w:t xml:space="preserve">Wenig überrascht </w:t>
      </w:r>
      <w:r w:rsidR="004B726B" w:rsidRPr="006E0B0D">
        <w:rPr>
          <w:rFonts w:ascii="Cambria" w:hAnsi="Cambria"/>
        </w:rPr>
        <w:t xml:space="preserve">hat </w:t>
      </w:r>
      <w:r w:rsidRPr="006E0B0D">
        <w:rPr>
          <w:rFonts w:ascii="Cambria" w:hAnsi="Cambria"/>
        </w:rPr>
        <w:t xml:space="preserve">auch, dass die im Irland-Protokoll versuchte Quadratur des Kreises wohl kaum gelungen ist: Einerseits </w:t>
      </w:r>
      <w:r w:rsidR="004B726B" w:rsidRPr="006E0B0D">
        <w:rPr>
          <w:rFonts w:ascii="Cambria" w:hAnsi="Cambria"/>
        </w:rPr>
        <w:t xml:space="preserve">waren Kontrollen an der EU-Außengrenze zwischen der Republik Irland und Nordirland (als Teil Großbritanniens) auszuschließen </w:t>
      </w:r>
      <w:r w:rsidRPr="006E0B0D">
        <w:rPr>
          <w:rFonts w:ascii="Cambria" w:hAnsi="Cambria"/>
        </w:rPr>
        <w:t>- aus Sorge, der alte Nordirland-Konflikt könnte w</w:t>
      </w:r>
      <w:r w:rsidR="00D448C4" w:rsidRPr="006E0B0D">
        <w:rPr>
          <w:rFonts w:ascii="Cambria" w:hAnsi="Cambria"/>
        </w:rPr>
        <w:t>ie</w:t>
      </w:r>
      <w:r w:rsidRPr="006E0B0D">
        <w:rPr>
          <w:rFonts w:ascii="Cambria" w:hAnsi="Cambria"/>
        </w:rPr>
        <w:t>der aufleben</w:t>
      </w:r>
      <w:r w:rsidR="004B726B" w:rsidRPr="006E0B0D">
        <w:rPr>
          <w:rFonts w:ascii="Cambria" w:hAnsi="Cambria"/>
        </w:rPr>
        <w:t xml:space="preserve">. </w:t>
      </w:r>
      <w:r w:rsidR="00D448C4" w:rsidRPr="006E0B0D">
        <w:rPr>
          <w:rFonts w:ascii="Cambria" w:hAnsi="Cambria"/>
        </w:rPr>
        <w:t xml:space="preserve">Andererseits bestand Großbritannien darauf, dass Nordirland Teil seines Zollgebiets bleibt. Der aus </w:t>
      </w:r>
      <w:proofErr w:type="gramStart"/>
      <w:r w:rsidR="00D448C4" w:rsidRPr="006E0B0D">
        <w:rPr>
          <w:rFonts w:ascii="Cambria" w:hAnsi="Cambria"/>
        </w:rPr>
        <w:t>diesen eigentlich</w:t>
      </w:r>
      <w:proofErr w:type="gramEnd"/>
      <w:r w:rsidR="00D448C4" w:rsidRPr="006E0B0D">
        <w:rPr>
          <w:rFonts w:ascii="Cambria" w:hAnsi="Cambria"/>
        </w:rPr>
        <w:t xml:space="preserve"> unvereinbaren Prämissen resultierende Kompromiss </w:t>
      </w:r>
      <w:r w:rsidR="004B726B" w:rsidRPr="006E0B0D">
        <w:rPr>
          <w:rFonts w:ascii="Cambria" w:hAnsi="Cambria"/>
        </w:rPr>
        <w:t xml:space="preserve">verlagert die EU </w:t>
      </w:r>
      <w:r w:rsidR="00F36732">
        <w:rPr>
          <w:rFonts w:ascii="Cambria" w:hAnsi="Cambria"/>
        </w:rPr>
        <w:t>-</w:t>
      </w:r>
      <w:r w:rsidR="004B726B" w:rsidRPr="006E0B0D">
        <w:rPr>
          <w:rFonts w:ascii="Cambria" w:hAnsi="Cambria"/>
        </w:rPr>
        <w:t xml:space="preserve">Außengrenze praktisch in die Irische See und </w:t>
      </w:r>
      <w:r w:rsidR="00D448C4" w:rsidRPr="006E0B0D">
        <w:rPr>
          <w:rFonts w:ascii="Cambria" w:hAnsi="Cambria"/>
        </w:rPr>
        <w:t>sieht</w:t>
      </w:r>
      <w:r w:rsidR="004B726B" w:rsidRPr="006E0B0D">
        <w:rPr>
          <w:rFonts w:ascii="Cambria" w:hAnsi="Cambria"/>
        </w:rPr>
        <w:t xml:space="preserve"> </w:t>
      </w:r>
      <w:r w:rsidR="00F36732">
        <w:rPr>
          <w:rFonts w:ascii="Cambria" w:hAnsi="Cambria"/>
        </w:rPr>
        <w:t xml:space="preserve">folglich </w:t>
      </w:r>
      <w:r w:rsidR="00D448C4" w:rsidRPr="006E0B0D">
        <w:rPr>
          <w:rFonts w:ascii="Cambria" w:hAnsi="Cambria"/>
        </w:rPr>
        <w:t xml:space="preserve">Warenkontrollen zwischen Nordirland und dem Rest Großbritanniens vor. Die damit verbundenen Kontrollen </w:t>
      </w:r>
      <w:r w:rsidR="004B726B" w:rsidRPr="006E0B0D">
        <w:rPr>
          <w:rFonts w:ascii="Cambria" w:hAnsi="Cambria"/>
        </w:rPr>
        <w:t xml:space="preserve">haben wegen </w:t>
      </w:r>
      <w:r w:rsidR="00D448C4" w:rsidRPr="006E0B0D">
        <w:rPr>
          <w:rFonts w:ascii="Cambria" w:hAnsi="Cambria"/>
        </w:rPr>
        <w:t xml:space="preserve">Lieferverzögerungen </w:t>
      </w:r>
      <w:r w:rsidR="004B726B" w:rsidRPr="006E0B0D">
        <w:rPr>
          <w:rFonts w:ascii="Cambria" w:hAnsi="Cambria"/>
        </w:rPr>
        <w:t>und -engpässen</w:t>
      </w:r>
      <w:r w:rsidR="0045561A">
        <w:rPr>
          <w:rFonts w:ascii="Cambria" w:hAnsi="Cambria"/>
        </w:rPr>
        <w:t xml:space="preserve"> </w:t>
      </w:r>
      <w:r w:rsidR="00D448C4" w:rsidRPr="006E0B0D">
        <w:rPr>
          <w:rFonts w:ascii="Cambria" w:hAnsi="Cambria"/>
        </w:rPr>
        <w:t xml:space="preserve">(insbes. auch </w:t>
      </w:r>
      <w:r w:rsidR="004B726B" w:rsidRPr="006E0B0D">
        <w:rPr>
          <w:rFonts w:ascii="Cambria" w:hAnsi="Cambria"/>
        </w:rPr>
        <w:t>bei</w:t>
      </w:r>
      <w:r w:rsidR="00D448C4" w:rsidRPr="006E0B0D">
        <w:rPr>
          <w:rFonts w:ascii="Cambria" w:hAnsi="Cambria"/>
        </w:rPr>
        <w:t xml:space="preserve"> </w:t>
      </w:r>
      <w:proofErr w:type="gramStart"/>
      <w:r w:rsidR="00D448C4" w:rsidRPr="006E0B0D">
        <w:rPr>
          <w:rFonts w:ascii="Cambria" w:hAnsi="Cambria"/>
        </w:rPr>
        <w:t>Nahrungsmitteln)  erhebliche</w:t>
      </w:r>
      <w:r w:rsidR="00F36732">
        <w:rPr>
          <w:rFonts w:ascii="Cambria" w:hAnsi="Cambria"/>
        </w:rPr>
        <w:t>n</w:t>
      </w:r>
      <w:proofErr w:type="gramEnd"/>
      <w:r w:rsidR="00D448C4" w:rsidRPr="006E0B0D">
        <w:rPr>
          <w:rFonts w:ascii="Cambria" w:hAnsi="Cambria"/>
        </w:rPr>
        <w:t xml:space="preserve"> Un</w:t>
      </w:r>
      <w:r w:rsidR="004B726B" w:rsidRPr="006E0B0D">
        <w:rPr>
          <w:rFonts w:ascii="Cambria" w:hAnsi="Cambria"/>
        </w:rPr>
        <w:t>mut</w:t>
      </w:r>
      <w:r w:rsidR="00D448C4" w:rsidRPr="006E0B0D">
        <w:rPr>
          <w:rFonts w:ascii="Cambria" w:hAnsi="Cambria"/>
        </w:rPr>
        <w:t xml:space="preserve"> in Nordirland </w:t>
      </w:r>
      <w:r w:rsidR="00F36732">
        <w:rPr>
          <w:rFonts w:ascii="Cambria" w:hAnsi="Cambria"/>
        </w:rPr>
        <w:t>hervorgerufen</w:t>
      </w:r>
      <w:r w:rsidR="004B726B" w:rsidRPr="006E0B0D">
        <w:rPr>
          <w:rFonts w:ascii="Cambria" w:hAnsi="Cambria"/>
        </w:rPr>
        <w:t>.</w:t>
      </w:r>
      <w:r w:rsidR="00D448C4" w:rsidRPr="006E0B0D">
        <w:rPr>
          <w:rFonts w:ascii="Cambria" w:hAnsi="Cambria"/>
        </w:rPr>
        <w:t xml:space="preserve"> </w:t>
      </w:r>
      <w:r w:rsidR="004B726B" w:rsidRPr="006E0B0D">
        <w:rPr>
          <w:rFonts w:ascii="Cambria" w:hAnsi="Cambria"/>
        </w:rPr>
        <w:t>Dort befürchtet man auch</w:t>
      </w:r>
      <w:r w:rsidR="00D448C4" w:rsidRPr="006E0B0D">
        <w:rPr>
          <w:rFonts w:ascii="Cambria" w:hAnsi="Cambria"/>
        </w:rPr>
        <w:t xml:space="preserve">, </w:t>
      </w:r>
      <w:r w:rsidR="004B726B" w:rsidRPr="006E0B0D">
        <w:rPr>
          <w:rFonts w:ascii="Cambria" w:hAnsi="Cambria"/>
        </w:rPr>
        <w:t xml:space="preserve">dass </w:t>
      </w:r>
      <w:r w:rsidR="00D448C4" w:rsidRPr="006E0B0D">
        <w:rPr>
          <w:rFonts w:ascii="Cambria" w:hAnsi="Cambria"/>
        </w:rPr>
        <w:t>die</w:t>
      </w:r>
      <w:r w:rsidR="004B726B" w:rsidRPr="006E0B0D">
        <w:rPr>
          <w:rFonts w:ascii="Cambria" w:hAnsi="Cambria"/>
        </w:rPr>
        <w:t>se</w:t>
      </w:r>
      <w:r w:rsidR="00D448C4" w:rsidRPr="006E0B0D">
        <w:rPr>
          <w:rFonts w:ascii="Cambria" w:hAnsi="Cambria"/>
        </w:rPr>
        <w:t xml:space="preserve"> „unmögliche Situation“ </w:t>
      </w:r>
      <w:r w:rsidR="004B726B" w:rsidRPr="006E0B0D">
        <w:rPr>
          <w:rFonts w:ascii="Cambria" w:hAnsi="Cambria"/>
        </w:rPr>
        <w:t xml:space="preserve">am Ende </w:t>
      </w:r>
      <w:r w:rsidR="00D448C4" w:rsidRPr="006E0B0D">
        <w:rPr>
          <w:rFonts w:ascii="Cambria" w:hAnsi="Cambria"/>
        </w:rPr>
        <w:t xml:space="preserve">zu </w:t>
      </w:r>
      <w:r w:rsidR="004B726B" w:rsidRPr="006E0B0D">
        <w:rPr>
          <w:rFonts w:ascii="Cambria" w:hAnsi="Cambria"/>
        </w:rPr>
        <w:t>einer Eingliederung</w:t>
      </w:r>
      <w:r w:rsidR="00D448C4" w:rsidRPr="006E0B0D">
        <w:rPr>
          <w:rFonts w:ascii="Cambria" w:hAnsi="Cambria"/>
        </w:rPr>
        <w:t xml:space="preserve"> Nordirland</w:t>
      </w:r>
      <w:r w:rsidR="004B726B" w:rsidRPr="006E0B0D">
        <w:rPr>
          <w:rFonts w:ascii="Cambria" w:hAnsi="Cambria"/>
        </w:rPr>
        <w:t>s</w:t>
      </w:r>
      <w:r w:rsidR="00D448C4" w:rsidRPr="006E0B0D">
        <w:rPr>
          <w:rFonts w:ascii="Cambria" w:hAnsi="Cambria"/>
        </w:rPr>
        <w:t xml:space="preserve"> </w:t>
      </w:r>
      <w:r w:rsidR="004B726B" w:rsidRPr="006E0B0D">
        <w:rPr>
          <w:rFonts w:ascii="Cambria" w:hAnsi="Cambria"/>
        </w:rPr>
        <w:t xml:space="preserve">in die </w:t>
      </w:r>
      <w:r w:rsidR="00D448C4" w:rsidRPr="006E0B0D">
        <w:rPr>
          <w:rFonts w:ascii="Cambria" w:hAnsi="Cambria"/>
        </w:rPr>
        <w:t xml:space="preserve">Republik Irland </w:t>
      </w:r>
      <w:r w:rsidR="004B726B" w:rsidRPr="006E0B0D">
        <w:rPr>
          <w:rFonts w:ascii="Cambria" w:hAnsi="Cambria"/>
        </w:rPr>
        <w:t>führen könnte</w:t>
      </w:r>
      <w:r w:rsidR="00D448C4" w:rsidRPr="006E0B0D">
        <w:rPr>
          <w:rFonts w:ascii="Cambria" w:hAnsi="Cambria"/>
        </w:rPr>
        <w:t xml:space="preserve">. </w:t>
      </w:r>
      <w:r w:rsidR="0070340D" w:rsidRPr="006E0B0D">
        <w:rPr>
          <w:rFonts w:ascii="Cambria" w:hAnsi="Cambria"/>
        </w:rPr>
        <w:t>Mit ihren wiederholten Versuchen, die Vereinbarungen zum inneririschen Hande</w:t>
      </w:r>
      <w:r w:rsidR="009250E4">
        <w:rPr>
          <w:rFonts w:ascii="Cambria" w:hAnsi="Cambria"/>
        </w:rPr>
        <w:t xml:space="preserve">l </w:t>
      </w:r>
      <w:r w:rsidR="0070340D" w:rsidRPr="006E0B0D">
        <w:rPr>
          <w:rFonts w:ascii="Cambria" w:hAnsi="Cambria"/>
        </w:rPr>
        <w:t>neu</w:t>
      </w:r>
      <w:r w:rsidR="00EF1544" w:rsidRPr="006E0B0D">
        <w:rPr>
          <w:rFonts w:ascii="Cambria" w:hAnsi="Cambria"/>
        </w:rPr>
        <w:t xml:space="preserve"> </w:t>
      </w:r>
      <w:r w:rsidR="0070340D" w:rsidRPr="006E0B0D">
        <w:rPr>
          <w:rFonts w:ascii="Cambria" w:hAnsi="Cambria"/>
        </w:rPr>
        <w:t xml:space="preserve">zu verhandeln, ist die britische Regierung bislang bei der EU auf Granit gestoßen. </w:t>
      </w:r>
      <w:r w:rsidR="00514200" w:rsidRPr="006E0B0D">
        <w:rPr>
          <w:rFonts w:ascii="Cambria" w:hAnsi="Cambria"/>
        </w:rPr>
        <w:t xml:space="preserve">Die EU hat nicht vergessen, dass </w:t>
      </w:r>
      <w:r w:rsidR="00F36732">
        <w:rPr>
          <w:rFonts w:ascii="Cambria" w:hAnsi="Cambria"/>
        </w:rPr>
        <w:t xml:space="preserve">die </w:t>
      </w:r>
      <w:r w:rsidR="00514200" w:rsidRPr="006E0B0D">
        <w:rPr>
          <w:rFonts w:ascii="Cambria" w:hAnsi="Cambria"/>
        </w:rPr>
        <w:t xml:space="preserve">Vereinbarungen im Irland-Protokoll, die </w:t>
      </w:r>
      <w:r w:rsidR="00EF1544" w:rsidRPr="006E0B0D">
        <w:rPr>
          <w:rFonts w:ascii="Cambria" w:hAnsi="Cambria"/>
        </w:rPr>
        <w:t>der britische Premierminister heute als „</w:t>
      </w:r>
      <w:proofErr w:type="spellStart"/>
      <w:r w:rsidR="00EF1544" w:rsidRPr="006E0B0D">
        <w:rPr>
          <w:rFonts w:ascii="Cambria" w:hAnsi="Cambria"/>
        </w:rPr>
        <w:t>unworkable</w:t>
      </w:r>
      <w:proofErr w:type="spellEnd"/>
      <w:r w:rsidR="00EF1544" w:rsidRPr="006E0B0D">
        <w:rPr>
          <w:rFonts w:ascii="Cambria" w:hAnsi="Cambria"/>
        </w:rPr>
        <w:t>“</w:t>
      </w:r>
      <w:r w:rsidR="00514200" w:rsidRPr="006E0B0D">
        <w:rPr>
          <w:rFonts w:ascii="Cambria" w:hAnsi="Cambria"/>
        </w:rPr>
        <w:t xml:space="preserve"> brandmarkt, seinerzeit von ihm selbst in das Abkommen „hineinverhandelt“ worden waren, zum Teil gegen den ausdrücklichen Rat der EU. </w:t>
      </w:r>
    </w:p>
    <w:p w14:paraId="0C22A815" w14:textId="77777777" w:rsidR="0070340D" w:rsidRDefault="0070340D" w:rsidP="004B726B">
      <w:pPr>
        <w:pStyle w:val="Listenabsatz"/>
        <w:jc w:val="both"/>
        <w:rPr>
          <w:rFonts w:ascii="Cambria" w:hAnsi="Cambria"/>
        </w:rPr>
      </w:pPr>
    </w:p>
    <w:p w14:paraId="5A00D503" w14:textId="19ADC62E" w:rsidR="0070340D" w:rsidRPr="006E0B0D" w:rsidRDefault="0070340D" w:rsidP="006E0B0D">
      <w:pPr>
        <w:jc w:val="both"/>
        <w:rPr>
          <w:rFonts w:ascii="Cambria" w:hAnsi="Cambria"/>
        </w:rPr>
      </w:pPr>
      <w:r w:rsidRPr="006E0B0D">
        <w:rPr>
          <w:rFonts w:ascii="Cambria" w:hAnsi="Cambria"/>
        </w:rPr>
        <w:t xml:space="preserve">In einem </w:t>
      </w:r>
      <w:r w:rsidR="000014D1" w:rsidRPr="006E0B0D">
        <w:rPr>
          <w:rFonts w:ascii="Cambria" w:hAnsi="Cambria"/>
        </w:rPr>
        <w:t>mehr</w:t>
      </w:r>
      <w:r w:rsidRPr="006E0B0D">
        <w:rPr>
          <w:rFonts w:ascii="Cambria" w:hAnsi="Cambria"/>
        </w:rPr>
        <w:t xml:space="preserve">teiligen Aufsatz in der renommierten „Europäischen Zeitschrift für Wirtschaftsrecht“ haben </w:t>
      </w:r>
      <w:r w:rsidR="00F36732">
        <w:rPr>
          <w:rFonts w:ascii="Cambria" w:hAnsi="Cambria"/>
        </w:rPr>
        <w:t xml:space="preserve">sich </w:t>
      </w:r>
      <w:r w:rsidRPr="006E0B0D">
        <w:rPr>
          <w:rFonts w:ascii="Cambria" w:hAnsi="Cambria"/>
        </w:rPr>
        <w:t xml:space="preserve">drei Autoren </w:t>
      </w:r>
      <w:r w:rsidR="00514200" w:rsidRPr="006E0B0D">
        <w:rPr>
          <w:rFonts w:ascii="Cambria" w:hAnsi="Cambria"/>
        </w:rPr>
        <w:t xml:space="preserve">kürzlich </w:t>
      </w:r>
      <w:r w:rsidR="00F36732">
        <w:rPr>
          <w:rFonts w:ascii="Cambria" w:hAnsi="Cambria"/>
        </w:rPr>
        <w:t>die Mühe gemacht</w:t>
      </w:r>
      <w:r w:rsidRPr="006E0B0D">
        <w:rPr>
          <w:rFonts w:ascii="Cambria" w:hAnsi="Cambria"/>
        </w:rPr>
        <w:t>, d</w:t>
      </w:r>
      <w:r w:rsidR="000014D1" w:rsidRPr="006E0B0D">
        <w:rPr>
          <w:rFonts w:ascii="Cambria" w:hAnsi="Cambria"/>
        </w:rPr>
        <w:t xml:space="preserve">ie Grundlinien des Handels- und Kooperationsabkommens </w:t>
      </w:r>
      <w:r w:rsidRPr="006E0B0D">
        <w:rPr>
          <w:rFonts w:ascii="Cambria" w:hAnsi="Cambria"/>
        </w:rPr>
        <w:t>zu analysieren</w:t>
      </w:r>
      <w:r w:rsidR="000014D1" w:rsidRPr="006E0B0D">
        <w:rPr>
          <w:rFonts w:ascii="Cambria" w:hAnsi="Cambria"/>
        </w:rPr>
        <w:t xml:space="preserve">. Dafür haben sie immerhin 24 Druckseiten </w:t>
      </w:r>
      <w:r w:rsidR="009250E4">
        <w:rPr>
          <w:rFonts w:ascii="Cambria" w:hAnsi="Cambria"/>
        </w:rPr>
        <w:t>gebraucht</w:t>
      </w:r>
      <w:r w:rsidR="000014D1" w:rsidRPr="006E0B0D">
        <w:rPr>
          <w:rFonts w:ascii="Cambria" w:hAnsi="Cambria"/>
        </w:rPr>
        <w:t xml:space="preserve">, und der Titel dieses Aufsatzes fragt bezeichnenderweise: „Der Anfang vom Ende? Das finale (?) </w:t>
      </w:r>
      <w:proofErr w:type="spellStart"/>
      <w:r w:rsidR="000014D1" w:rsidRPr="006E0B0D">
        <w:rPr>
          <w:rFonts w:ascii="Cambria" w:hAnsi="Cambria"/>
        </w:rPr>
        <w:t>Brexitabkommen</w:t>
      </w:r>
      <w:proofErr w:type="spellEnd"/>
      <w:r w:rsidR="000014D1" w:rsidRPr="006E0B0D">
        <w:rPr>
          <w:rFonts w:ascii="Cambria" w:hAnsi="Cambria"/>
        </w:rPr>
        <w:t xml:space="preserve"> und seine Auswirkungen auf Irland“.</w:t>
      </w:r>
    </w:p>
    <w:p w14:paraId="6B9DDCAD" w14:textId="7742D561" w:rsidR="0070340D" w:rsidRPr="004B726B" w:rsidRDefault="0070340D" w:rsidP="004B726B">
      <w:pPr>
        <w:pStyle w:val="Listenabsatz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07C8A938" w14:textId="12244524" w:rsidR="003B7ABD" w:rsidRDefault="003B7ABD">
      <w:pPr>
        <w:rPr>
          <w:rFonts w:ascii="Cambria" w:hAnsi="Cambria"/>
          <w:b/>
          <w:bCs/>
        </w:rPr>
      </w:pPr>
    </w:p>
    <w:p w14:paraId="6C0170EA" w14:textId="6487850F" w:rsidR="003B7ABD" w:rsidRPr="003B7ABD" w:rsidRDefault="003B7ABD">
      <w:pPr>
        <w:rPr>
          <w:rFonts w:ascii="Cambria" w:hAnsi="Cambria"/>
          <w:b/>
          <w:bCs/>
        </w:rPr>
      </w:pPr>
    </w:p>
    <w:sectPr w:rsidR="003B7ABD" w:rsidRPr="003B7ABD" w:rsidSect="00D25B23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3613" w14:textId="77777777" w:rsidR="00BA00BD" w:rsidRDefault="00BA00BD" w:rsidP="006E0B0D">
      <w:r>
        <w:separator/>
      </w:r>
    </w:p>
  </w:endnote>
  <w:endnote w:type="continuationSeparator" w:id="0">
    <w:p w14:paraId="186C24D8" w14:textId="77777777" w:rsidR="00BA00BD" w:rsidRDefault="00BA00BD" w:rsidP="006E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00350533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EB050EC" w14:textId="2319B493" w:rsidR="006E0B0D" w:rsidRDefault="006E0B0D" w:rsidP="000F555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81EBFC8" w14:textId="77777777" w:rsidR="006E0B0D" w:rsidRDefault="006E0B0D" w:rsidP="006E0B0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28295329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09F6D03" w14:textId="4CCBE077" w:rsidR="006E0B0D" w:rsidRDefault="006E0B0D" w:rsidP="000F555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20F92223" w14:textId="77777777" w:rsidR="006E0B0D" w:rsidRDefault="006E0B0D" w:rsidP="006E0B0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813D0" w14:textId="77777777" w:rsidR="00BA00BD" w:rsidRDefault="00BA00BD" w:rsidP="006E0B0D">
      <w:r>
        <w:separator/>
      </w:r>
    </w:p>
  </w:footnote>
  <w:footnote w:type="continuationSeparator" w:id="0">
    <w:p w14:paraId="0FF006C0" w14:textId="77777777" w:rsidR="00BA00BD" w:rsidRDefault="00BA00BD" w:rsidP="006E0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F21B4"/>
    <w:multiLevelType w:val="multilevel"/>
    <w:tmpl w:val="37DC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51F52"/>
    <w:multiLevelType w:val="multilevel"/>
    <w:tmpl w:val="7908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60669C"/>
    <w:multiLevelType w:val="multilevel"/>
    <w:tmpl w:val="6B8C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D10D01"/>
    <w:multiLevelType w:val="hybridMultilevel"/>
    <w:tmpl w:val="BE24EF3A"/>
    <w:lvl w:ilvl="0" w:tplc="2E5E225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C0432"/>
    <w:multiLevelType w:val="hybridMultilevel"/>
    <w:tmpl w:val="4754D4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5E"/>
    <w:rsid w:val="000014D1"/>
    <w:rsid w:val="00055861"/>
    <w:rsid w:val="000C2263"/>
    <w:rsid w:val="00156186"/>
    <w:rsid w:val="00172F38"/>
    <w:rsid w:val="001E0B16"/>
    <w:rsid w:val="00223B16"/>
    <w:rsid w:val="002767E4"/>
    <w:rsid w:val="002A676A"/>
    <w:rsid w:val="00310C24"/>
    <w:rsid w:val="00336AB8"/>
    <w:rsid w:val="0034653B"/>
    <w:rsid w:val="00367BBE"/>
    <w:rsid w:val="00394E24"/>
    <w:rsid w:val="003B7ABD"/>
    <w:rsid w:val="00414D98"/>
    <w:rsid w:val="00432C28"/>
    <w:rsid w:val="0045561A"/>
    <w:rsid w:val="0047118A"/>
    <w:rsid w:val="00487C76"/>
    <w:rsid w:val="004B726B"/>
    <w:rsid w:val="004C0E50"/>
    <w:rsid w:val="004D2DF2"/>
    <w:rsid w:val="005076A9"/>
    <w:rsid w:val="00514200"/>
    <w:rsid w:val="005970FA"/>
    <w:rsid w:val="006233F1"/>
    <w:rsid w:val="006706C1"/>
    <w:rsid w:val="006A16E5"/>
    <w:rsid w:val="006E0B0D"/>
    <w:rsid w:val="0070340D"/>
    <w:rsid w:val="007618F8"/>
    <w:rsid w:val="00792007"/>
    <w:rsid w:val="007E6029"/>
    <w:rsid w:val="007E638A"/>
    <w:rsid w:val="007F1901"/>
    <w:rsid w:val="00850777"/>
    <w:rsid w:val="008C7C21"/>
    <w:rsid w:val="00904D4F"/>
    <w:rsid w:val="009250E4"/>
    <w:rsid w:val="00964CE2"/>
    <w:rsid w:val="009812E8"/>
    <w:rsid w:val="0098420F"/>
    <w:rsid w:val="009E3B5D"/>
    <w:rsid w:val="00A25D2D"/>
    <w:rsid w:val="00A9793A"/>
    <w:rsid w:val="00A979B5"/>
    <w:rsid w:val="00AA4302"/>
    <w:rsid w:val="00AB7B6D"/>
    <w:rsid w:val="00B42B62"/>
    <w:rsid w:val="00B5298E"/>
    <w:rsid w:val="00B81EA4"/>
    <w:rsid w:val="00BA00BD"/>
    <w:rsid w:val="00C2154C"/>
    <w:rsid w:val="00C34801"/>
    <w:rsid w:val="00C41C9F"/>
    <w:rsid w:val="00C43F40"/>
    <w:rsid w:val="00C56D64"/>
    <w:rsid w:val="00C70621"/>
    <w:rsid w:val="00D25B23"/>
    <w:rsid w:val="00D26176"/>
    <w:rsid w:val="00D448C4"/>
    <w:rsid w:val="00DA4930"/>
    <w:rsid w:val="00DB6C8B"/>
    <w:rsid w:val="00E4735E"/>
    <w:rsid w:val="00E541E0"/>
    <w:rsid w:val="00E76BF9"/>
    <w:rsid w:val="00E8144F"/>
    <w:rsid w:val="00EC754A"/>
    <w:rsid w:val="00EE3BF5"/>
    <w:rsid w:val="00EF1544"/>
    <w:rsid w:val="00F36732"/>
    <w:rsid w:val="00F7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A0FCF0"/>
  <w15:chartTrackingRefBased/>
  <w15:docId w15:val="{AF3C4526-0A32-3741-BFFD-E6503CD0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C43F4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7ABD"/>
    <w:pPr>
      <w:ind w:left="720"/>
      <w:contextualSpacing/>
    </w:pPr>
  </w:style>
  <w:style w:type="paragraph" w:customStyle="1" w:styleId="Default">
    <w:name w:val="Default"/>
    <w:rsid w:val="007618F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6E0B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0B0D"/>
  </w:style>
  <w:style w:type="character" w:styleId="Seitenzahl">
    <w:name w:val="page number"/>
    <w:basedOn w:val="Absatz-Standardschriftart"/>
    <w:uiPriority w:val="99"/>
    <w:semiHidden/>
    <w:unhideWhenUsed/>
    <w:rsid w:val="006E0B0D"/>
  </w:style>
  <w:style w:type="character" w:styleId="Hyperlink">
    <w:name w:val="Hyperlink"/>
    <w:basedOn w:val="Absatz-Standardschriftart"/>
    <w:uiPriority w:val="99"/>
    <w:semiHidden/>
    <w:unhideWhenUsed/>
    <w:rsid w:val="00C43F40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3F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C43F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C43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2036</Words>
  <Characters>12829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2021-08-11T07:17:00Z</dcterms:created>
  <dcterms:modified xsi:type="dcterms:W3CDTF">2021-08-28T12:43:00Z</dcterms:modified>
</cp:coreProperties>
</file>